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08CB" w14:textId="77777777" w:rsidR="006F5DBD" w:rsidRDefault="006F5DBD" w:rsidP="006F5DBD">
      <w:pPr>
        <w:rPr>
          <w:b/>
          <w:bCs/>
        </w:rPr>
      </w:pPr>
    </w:p>
    <w:p w14:paraId="2AB686C4" w14:textId="77777777" w:rsidR="005B5785" w:rsidRDefault="005B5785" w:rsidP="0039283E">
      <w:pPr>
        <w:jc w:val="center"/>
        <w:rPr>
          <w:b/>
          <w:bCs/>
          <w:szCs w:val="24"/>
        </w:rPr>
      </w:pPr>
    </w:p>
    <w:p w14:paraId="140AE9C8" w14:textId="77777777" w:rsidR="005B5785" w:rsidRDefault="005B5785" w:rsidP="009813E2">
      <w:pPr>
        <w:rPr>
          <w:b/>
          <w:bCs/>
        </w:rPr>
      </w:pPr>
    </w:p>
    <w:p w14:paraId="734B3904" w14:textId="77777777" w:rsidR="005B5785" w:rsidRDefault="005B5785" w:rsidP="00457015">
      <w:pPr>
        <w:jc w:val="right"/>
        <w:rPr>
          <w:b/>
          <w:bCs/>
        </w:rPr>
      </w:pPr>
    </w:p>
    <w:p w14:paraId="017B8294" w14:textId="77777777" w:rsidR="00034EF9" w:rsidRDefault="00CC072B" w:rsidP="00034EF9">
      <w:r>
        <w:rPr>
          <w:b/>
          <w:bCs/>
        </w:rPr>
        <w:tab/>
      </w:r>
    </w:p>
    <w:p w14:paraId="0A532750" w14:textId="7D0D74E5" w:rsidR="005B5785" w:rsidRDefault="005B5785" w:rsidP="00A47C72">
      <w:pPr>
        <w:tabs>
          <w:tab w:val="left" w:pos="8300"/>
        </w:tabs>
        <w:jc w:val="right"/>
        <w:rPr>
          <w:b/>
          <w:bCs/>
        </w:rPr>
      </w:pPr>
    </w:p>
    <w:p w14:paraId="084A734D" w14:textId="3B8512C9" w:rsidR="00034EF9" w:rsidRDefault="00034EF9" w:rsidP="00CC072B">
      <w:pPr>
        <w:tabs>
          <w:tab w:val="left" w:pos="8300"/>
        </w:tabs>
        <w:rPr>
          <w:b/>
          <w:bCs/>
        </w:rPr>
      </w:pPr>
    </w:p>
    <w:p w14:paraId="7B2E8B06" w14:textId="77777777" w:rsidR="00034EF9" w:rsidRDefault="00034EF9" w:rsidP="00CC072B">
      <w:pPr>
        <w:tabs>
          <w:tab w:val="left" w:pos="8300"/>
        </w:tabs>
        <w:rPr>
          <w:b/>
          <w:bCs/>
        </w:rPr>
      </w:pPr>
    </w:p>
    <w:p w14:paraId="3126F0CF" w14:textId="1FF63386" w:rsidR="005E5AB4" w:rsidRDefault="006036EC" w:rsidP="00747B42">
      <w:pPr>
        <w:rPr>
          <w:b/>
          <w:bCs/>
        </w:rPr>
      </w:pPr>
      <w:r>
        <w:rPr>
          <w:rFonts w:ascii="Franklin Gothic Demi Cond" w:hAnsi="Franklin Gothic Demi Cond"/>
          <w:color w:val="263F6A" w:themeColor="accent1"/>
          <w:sz w:val="28"/>
          <w:szCs w:val="28"/>
        </w:rPr>
        <w:t>Purpose</w:t>
      </w:r>
    </w:p>
    <w:p w14:paraId="6293969B" w14:textId="20490301" w:rsidR="006A1E63" w:rsidRDefault="006036EC" w:rsidP="0073124A">
      <w:pPr>
        <w:spacing w:after="120"/>
      </w:pPr>
      <w:bookmarkStart w:id="0" w:name="_Hlk58492325"/>
      <w:r>
        <w:t xml:space="preserve">To </w:t>
      </w:r>
      <w:r w:rsidR="00F77A49">
        <w:t>protect</w:t>
      </w:r>
      <w:r>
        <w:t xml:space="preserve"> </w:t>
      </w:r>
      <w:r w:rsidR="008F06C2">
        <w:t xml:space="preserve">patients, providers, and staff of </w:t>
      </w:r>
      <w:r>
        <w:t xml:space="preserve">the health care system, </w:t>
      </w:r>
      <w:r w:rsidR="00617F9C">
        <w:t>the Health Department issues the following guidance to prevent the spread of COVID-19 within health care settings</w:t>
      </w:r>
      <w:r>
        <w:t xml:space="preserve">. </w:t>
      </w:r>
      <w:bookmarkEnd w:id="0"/>
      <w:r w:rsidR="0035402D">
        <w:t xml:space="preserve">The guidance applies to licensed health care providers under Title 26 of the Vermont Statutes Annotated, though excludes dentistry and dental hygiene, whose practice </w:t>
      </w:r>
      <w:r w:rsidR="00740419">
        <w:t>is</w:t>
      </w:r>
      <w:r w:rsidR="0035402D">
        <w:t xml:space="preserve"> subject to sector-specific guidance.</w:t>
      </w:r>
    </w:p>
    <w:p w14:paraId="1F27A27A" w14:textId="1FD0FC9D" w:rsidR="006036EC" w:rsidRDefault="0035402D" w:rsidP="005A701E">
      <w:pPr>
        <w:spacing w:before="240" w:after="120"/>
        <w:rPr>
          <w:b/>
          <w:bCs/>
        </w:rPr>
      </w:pPr>
      <w:r>
        <w:rPr>
          <w:rFonts w:ascii="Franklin Gothic Demi Cond" w:hAnsi="Franklin Gothic Demi Cond"/>
          <w:color w:val="263F6A" w:themeColor="accent1"/>
          <w:sz w:val="28"/>
          <w:szCs w:val="28"/>
        </w:rPr>
        <w:t xml:space="preserve">Patient </w:t>
      </w:r>
      <w:r w:rsidR="006D4BC8">
        <w:rPr>
          <w:rFonts w:ascii="Franklin Gothic Demi Cond" w:hAnsi="Franklin Gothic Demi Cond"/>
          <w:color w:val="263F6A" w:themeColor="accent1"/>
          <w:sz w:val="28"/>
          <w:szCs w:val="28"/>
        </w:rPr>
        <w:t>Precautions</w:t>
      </w:r>
    </w:p>
    <w:p w14:paraId="42F85E53" w14:textId="5B05DC24" w:rsidR="00491032" w:rsidRDefault="00491032" w:rsidP="005A701E">
      <w:pPr>
        <w:spacing w:after="120"/>
        <w:rPr>
          <w:rFonts w:eastAsia="Times New Roman"/>
        </w:rPr>
      </w:pPr>
      <w:r>
        <w:rPr>
          <w:rFonts w:eastAsia="Times New Roman"/>
        </w:rPr>
        <w:t>All patients must be</w:t>
      </w:r>
      <w:r w:rsidR="008E7549">
        <w:rPr>
          <w:rFonts w:eastAsia="Times New Roman"/>
        </w:rPr>
        <w:t xml:space="preserve"> </w:t>
      </w:r>
      <w:r>
        <w:rPr>
          <w:rFonts w:eastAsia="Times New Roman"/>
        </w:rPr>
        <w:t xml:space="preserve">screened for </w:t>
      </w:r>
      <w:hyperlink r:id="rId8" w:history="1">
        <w:r w:rsidRPr="007223FB">
          <w:rPr>
            <w:rStyle w:val="Hyperlink"/>
            <w:rFonts w:eastAsia="Times New Roman"/>
          </w:rPr>
          <w:t>COVID-19 symptoms</w:t>
        </w:r>
      </w:hyperlink>
      <w:r>
        <w:rPr>
          <w:rFonts w:eastAsia="Times New Roman"/>
        </w:rPr>
        <w:t xml:space="preserve"> prior to entering a health care facility or receiving health care services of any type.</w:t>
      </w:r>
    </w:p>
    <w:p w14:paraId="0ADB369C" w14:textId="54313E4F" w:rsidR="005F1142" w:rsidRDefault="005F1142" w:rsidP="005A701E">
      <w:pPr>
        <w:spacing w:after="120"/>
        <w:rPr>
          <w:rFonts w:eastAsia="Times New Roman"/>
        </w:rPr>
      </w:pPr>
      <w:r>
        <w:rPr>
          <w:rFonts w:eastAsia="Times New Roman"/>
        </w:rPr>
        <w:t>All patients must be screened to determine vaccination status prior to entering a health care facility or receiving health care services of any type.</w:t>
      </w:r>
    </w:p>
    <w:p w14:paraId="480D5978" w14:textId="0EF84A23" w:rsidR="00C246C2" w:rsidRDefault="00491032" w:rsidP="005A701E">
      <w:pPr>
        <w:widowControl w:val="0"/>
        <w:tabs>
          <w:tab w:val="left" w:pos="820"/>
          <w:tab w:val="left" w:pos="821"/>
        </w:tabs>
        <w:autoSpaceDE w:val="0"/>
        <w:autoSpaceDN w:val="0"/>
        <w:spacing w:before="209" w:after="120" w:line="237" w:lineRule="auto"/>
        <w:ind w:right="229"/>
        <w:rPr>
          <w:rFonts w:eastAsia="Times New Roman"/>
        </w:rPr>
      </w:pPr>
      <w:r>
        <w:t xml:space="preserve">All </w:t>
      </w:r>
      <w:r w:rsidR="0081322F">
        <w:t>people</w:t>
      </w:r>
      <w:r>
        <w:t xml:space="preserve"> must wear mask</w:t>
      </w:r>
      <w:r w:rsidR="00495442">
        <w:t>s</w:t>
      </w:r>
      <w:r>
        <w:t xml:space="preserve"> or facial coverings</w:t>
      </w:r>
      <w:r w:rsidR="0081322F">
        <w:t xml:space="preserve">, </w:t>
      </w:r>
      <w:r>
        <w:t>provided by the patient or by the facility</w:t>
      </w:r>
      <w:r w:rsidR="0081322F">
        <w:t>,</w:t>
      </w:r>
      <w:r>
        <w:t xml:space="preserve"> when in public</w:t>
      </w:r>
      <w:r w:rsidRPr="00925EAB">
        <w:rPr>
          <w:spacing w:val="3"/>
        </w:rPr>
        <w:t xml:space="preserve"> </w:t>
      </w:r>
      <w:r>
        <w:t>areas and treatment rooms except when patient examination makes wearing a mask or facial covering impossible.</w:t>
      </w:r>
    </w:p>
    <w:p w14:paraId="3F61DB5B" w14:textId="08405303" w:rsidR="0081322F" w:rsidRPr="00066EC3" w:rsidRDefault="004C2965" w:rsidP="005A701E">
      <w:pPr>
        <w:spacing w:after="120"/>
        <w:rPr>
          <w:rFonts w:eastAsia="Times New Roman"/>
          <w:szCs w:val="24"/>
        </w:rPr>
      </w:pPr>
      <w:bookmarkStart w:id="1" w:name="_Hlk47354543"/>
      <w:r>
        <w:rPr>
          <w:rFonts w:eastAsia="Times New Roman"/>
          <w:b/>
          <w:bCs/>
          <w:szCs w:val="24"/>
        </w:rPr>
        <w:t>Outpatient p</w:t>
      </w:r>
      <w:r w:rsidR="00491032" w:rsidRPr="00066EC3">
        <w:rPr>
          <w:rFonts w:eastAsia="Times New Roman"/>
          <w:b/>
          <w:bCs/>
          <w:szCs w:val="24"/>
        </w:rPr>
        <w:t>re-procedure testing (with SARS-CoV-2 PCR) of asymptomatic patients: </w:t>
      </w:r>
    </w:p>
    <w:p w14:paraId="7295365F" w14:textId="4D2E5D61" w:rsidR="00557761" w:rsidRDefault="00757D69" w:rsidP="005A701E">
      <w:pPr>
        <w:pStyle w:val="ListParagraph"/>
        <w:numPr>
          <w:ilvl w:val="0"/>
          <w:numId w:val="38"/>
        </w:numPr>
        <w:spacing w:after="120"/>
        <w:rPr>
          <w:rFonts w:eastAsia="Times New Roman"/>
          <w:szCs w:val="24"/>
        </w:rPr>
      </w:pPr>
      <w:r w:rsidRPr="00474E15">
        <w:rPr>
          <w:rFonts w:eastAsia="Times New Roman"/>
          <w:b/>
          <w:bCs/>
          <w:szCs w:val="24"/>
        </w:rPr>
        <w:t xml:space="preserve">Providers </w:t>
      </w:r>
      <w:r w:rsidR="00135BB4" w:rsidRPr="00474E15">
        <w:rPr>
          <w:rFonts w:eastAsia="Times New Roman"/>
          <w:b/>
          <w:bCs/>
          <w:szCs w:val="24"/>
        </w:rPr>
        <w:t>may require pre-procedure testing at the hospital or provider’s discretion</w:t>
      </w:r>
      <w:r w:rsidR="00491032" w:rsidRPr="005A701E">
        <w:rPr>
          <w:rFonts w:eastAsia="Times New Roman"/>
          <w:szCs w:val="24"/>
        </w:rPr>
        <w:t xml:space="preserve"> for high-risk procedures including surgery requiring instrumentation of the airway (e.g., those requiring general anesthesia such as intubation, </w:t>
      </w:r>
      <w:proofErr w:type="spellStart"/>
      <w:r w:rsidR="00491032" w:rsidRPr="005A701E">
        <w:rPr>
          <w:rFonts w:eastAsia="Times New Roman"/>
          <w:szCs w:val="24"/>
        </w:rPr>
        <w:t>extubation</w:t>
      </w:r>
      <w:proofErr w:type="spellEnd"/>
      <w:r w:rsidR="00491032" w:rsidRPr="005A701E">
        <w:rPr>
          <w:rFonts w:eastAsia="Times New Roman"/>
          <w:szCs w:val="24"/>
        </w:rPr>
        <w:t>, manipulation of the respiratory epithelium). </w:t>
      </w:r>
      <w:r w:rsidR="005F1142">
        <w:rPr>
          <w:rFonts w:eastAsia="Times New Roman"/>
          <w:szCs w:val="24"/>
        </w:rPr>
        <w:t>These requirements apply to fully vaccinated and unvaccinated patients.</w:t>
      </w:r>
    </w:p>
    <w:p w14:paraId="5137E184" w14:textId="12EAA895" w:rsidR="009C1F63" w:rsidRDefault="00A956A2" w:rsidP="005A701E">
      <w:pPr>
        <w:pStyle w:val="ListParagraph"/>
        <w:numPr>
          <w:ilvl w:val="0"/>
          <w:numId w:val="38"/>
        </w:numPr>
        <w:spacing w:after="120"/>
        <w:rPr>
          <w:rFonts w:eastAsia="Times New Roman"/>
          <w:szCs w:val="24"/>
        </w:rPr>
      </w:pPr>
      <w:r>
        <w:rPr>
          <w:rFonts w:eastAsia="Times New Roman"/>
          <w:szCs w:val="24"/>
        </w:rPr>
        <w:t xml:space="preserve">Providers shall </w:t>
      </w:r>
      <w:r>
        <w:rPr>
          <w:rFonts w:eastAsia="Times New Roman"/>
          <w:b/>
          <w:bCs/>
          <w:szCs w:val="24"/>
        </w:rPr>
        <w:t>c</w:t>
      </w:r>
      <w:r w:rsidR="00491032" w:rsidRPr="005A701E">
        <w:rPr>
          <w:rFonts w:eastAsia="Times New Roman"/>
          <w:b/>
          <w:bCs/>
          <w:szCs w:val="24"/>
        </w:rPr>
        <w:t>onsider utilizing pre-procedure testing</w:t>
      </w:r>
      <w:r w:rsidR="00491032" w:rsidRPr="005A701E">
        <w:rPr>
          <w:rFonts w:eastAsia="Times New Roman"/>
          <w:szCs w:val="24"/>
        </w:rPr>
        <w:t xml:space="preserve"> for procedures that carry a high risk of cardiopulmonary arrest and the need for intubation (i.e., cardiac catheterization)</w:t>
      </w:r>
      <w:r w:rsidR="005F1142">
        <w:rPr>
          <w:rFonts w:eastAsia="Times New Roman"/>
          <w:szCs w:val="24"/>
        </w:rPr>
        <w:t xml:space="preserve"> and in the instance that a patient is not fully vaccinated</w:t>
      </w:r>
      <w:r w:rsidR="00491032" w:rsidRPr="005A701E">
        <w:rPr>
          <w:rFonts w:eastAsia="Times New Roman"/>
          <w:szCs w:val="24"/>
        </w:rPr>
        <w:t>.</w:t>
      </w:r>
    </w:p>
    <w:p w14:paraId="4478BFC5" w14:textId="244D2FBF" w:rsidR="005F1142" w:rsidRPr="005F1142" w:rsidRDefault="009C1F63" w:rsidP="005F1142">
      <w:pPr>
        <w:numPr>
          <w:ilvl w:val="0"/>
          <w:numId w:val="38"/>
        </w:numPr>
        <w:spacing w:after="120"/>
        <w:rPr>
          <w:rFonts w:eastAsia="Times New Roman"/>
          <w:szCs w:val="24"/>
        </w:rPr>
      </w:pPr>
      <w:r w:rsidRPr="00562533">
        <w:rPr>
          <w:rFonts w:eastAsia="Times New Roman"/>
          <w:b/>
          <w:bCs/>
          <w:szCs w:val="24"/>
        </w:rPr>
        <w:t>Pre-procedure testing is not recommended</w:t>
      </w:r>
      <w:r w:rsidRPr="00562533">
        <w:rPr>
          <w:rFonts w:eastAsia="Times New Roman"/>
          <w:szCs w:val="24"/>
        </w:rPr>
        <w:t xml:space="preserve"> for procedures typically requiring regional or other forms of anesthesia such as conscious sedation (with the provision to escalate to airborne precautions (N95, face shield) if having to transition or divert to general anesthesia via endotracheal tube). Pre-procedure testing should also not be utilized for interventional radiology procedures, exercise treadmill testing, and other procedures not requiring airway instrumentation. </w:t>
      </w:r>
    </w:p>
    <w:p w14:paraId="781DE6D8" w14:textId="641C15C7" w:rsidR="00A956A2" w:rsidRDefault="00A956A2" w:rsidP="00A956A2">
      <w:pPr>
        <w:spacing w:after="120"/>
        <w:rPr>
          <w:rFonts w:eastAsia="Times New Roman"/>
          <w:b/>
          <w:bCs/>
          <w:szCs w:val="24"/>
        </w:rPr>
      </w:pPr>
      <w:r>
        <w:rPr>
          <w:rFonts w:eastAsia="Times New Roman"/>
          <w:b/>
          <w:bCs/>
          <w:szCs w:val="24"/>
        </w:rPr>
        <w:t>In</w:t>
      </w:r>
      <w:r w:rsidRPr="00BE08EC">
        <w:rPr>
          <w:rFonts w:eastAsia="Times New Roman"/>
          <w:b/>
          <w:bCs/>
          <w:szCs w:val="24"/>
        </w:rPr>
        <w:t>patient pre-procedure testing (with SARS-CoV-2 PCR) of asymptomatic patients</w:t>
      </w:r>
      <w:r w:rsidR="00A8761E">
        <w:rPr>
          <w:rFonts w:eastAsia="Times New Roman"/>
          <w:b/>
          <w:bCs/>
          <w:szCs w:val="24"/>
        </w:rPr>
        <w:t xml:space="preserve"> (i</w:t>
      </w:r>
      <w:r w:rsidR="007248AC">
        <w:rPr>
          <w:rFonts w:eastAsia="Times New Roman"/>
          <w:b/>
          <w:bCs/>
          <w:szCs w:val="24"/>
        </w:rPr>
        <w:t>n addition to the guidance listed above</w:t>
      </w:r>
      <w:r w:rsidR="00A8761E">
        <w:rPr>
          <w:rFonts w:eastAsia="Times New Roman"/>
          <w:b/>
          <w:bCs/>
          <w:szCs w:val="24"/>
        </w:rPr>
        <w:t>)</w:t>
      </w:r>
      <w:r w:rsidRPr="00BE08EC">
        <w:rPr>
          <w:rFonts w:eastAsia="Times New Roman"/>
          <w:b/>
          <w:bCs/>
          <w:szCs w:val="24"/>
        </w:rPr>
        <w:t>: </w:t>
      </w:r>
    </w:p>
    <w:p w14:paraId="4C3A6ABE" w14:textId="179245BB" w:rsidR="00A956A2" w:rsidRPr="005A701E" w:rsidRDefault="00A956A2" w:rsidP="005A701E">
      <w:pPr>
        <w:pStyle w:val="ListParagraph"/>
        <w:widowControl w:val="0"/>
        <w:numPr>
          <w:ilvl w:val="0"/>
          <w:numId w:val="37"/>
        </w:numPr>
        <w:autoSpaceDE w:val="0"/>
        <w:autoSpaceDN w:val="0"/>
        <w:spacing w:after="120"/>
        <w:rPr>
          <w:rFonts w:eastAsia="Times New Roman"/>
          <w:szCs w:val="24"/>
        </w:rPr>
      </w:pPr>
      <w:r w:rsidRPr="001E0418">
        <w:rPr>
          <w:rFonts w:eastAsia="Times New Roman"/>
          <w:szCs w:val="24"/>
        </w:rPr>
        <w:t>Providers may choose to test patients scheduled for a procedure at the provider’s discretion</w:t>
      </w:r>
      <w:r>
        <w:rPr>
          <w:rFonts w:eastAsia="Times New Roman"/>
          <w:szCs w:val="24"/>
        </w:rPr>
        <w:t>.</w:t>
      </w:r>
    </w:p>
    <w:p w14:paraId="069FBDAB" w14:textId="3A5B1030" w:rsidR="00491032" w:rsidRDefault="00491032" w:rsidP="005A701E">
      <w:pPr>
        <w:spacing w:after="120"/>
        <w:rPr>
          <w:szCs w:val="24"/>
        </w:rPr>
      </w:pPr>
      <w:r w:rsidRPr="00066EC3">
        <w:rPr>
          <w:szCs w:val="24"/>
        </w:rPr>
        <w:t xml:space="preserve">If pre-procedure testing is utilized, testing </w:t>
      </w:r>
      <w:r w:rsidR="00544445">
        <w:rPr>
          <w:szCs w:val="24"/>
        </w:rPr>
        <w:t xml:space="preserve">should take place </w:t>
      </w:r>
      <w:r w:rsidRPr="00491032">
        <w:rPr>
          <w:b/>
          <w:bCs/>
          <w:szCs w:val="24"/>
        </w:rPr>
        <w:t>no more than 7 days</w:t>
      </w:r>
      <w:r w:rsidR="00544445">
        <w:rPr>
          <w:b/>
          <w:bCs/>
          <w:szCs w:val="24"/>
        </w:rPr>
        <w:t xml:space="preserve"> prior to the procedure. </w:t>
      </w:r>
      <w:r w:rsidR="00544445" w:rsidRPr="005A701E">
        <w:rPr>
          <w:szCs w:val="24"/>
        </w:rPr>
        <w:t>Patient</w:t>
      </w:r>
      <w:r w:rsidR="0070409E">
        <w:rPr>
          <w:szCs w:val="24"/>
        </w:rPr>
        <w:t>s</w:t>
      </w:r>
      <w:r w:rsidR="00544445" w:rsidRPr="005A701E">
        <w:rPr>
          <w:szCs w:val="24"/>
        </w:rPr>
        <w:t xml:space="preserve"> must then</w:t>
      </w:r>
      <w:r w:rsidR="00544445">
        <w:rPr>
          <w:b/>
          <w:bCs/>
          <w:szCs w:val="24"/>
        </w:rPr>
        <w:t xml:space="preserve"> </w:t>
      </w:r>
      <w:r w:rsidRPr="00066EC3">
        <w:rPr>
          <w:szCs w:val="24"/>
        </w:rPr>
        <w:t>socially isolate until the</w:t>
      </w:r>
      <w:r w:rsidR="00544445">
        <w:rPr>
          <w:szCs w:val="24"/>
        </w:rPr>
        <w:t xml:space="preserve"> test and the</w:t>
      </w:r>
      <w:r w:rsidRPr="00066EC3">
        <w:rPr>
          <w:szCs w:val="24"/>
        </w:rPr>
        <w:t xml:space="preserve"> procedure. SARS-CoV-2 </w:t>
      </w:r>
      <w:r w:rsidRPr="00066EC3">
        <w:rPr>
          <w:szCs w:val="24"/>
        </w:rPr>
        <w:lastRenderedPageBreak/>
        <w:t>PCR assay results should be communicated to the patient by the provider prior to the procedure.</w:t>
      </w:r>
      <w:bookmarkEnd w:id="1"/>
    </w:p>
    <w:p w14:paraId="578F3A60" w14:textId="5288C911" w:rsidR="0035402D" w:rsidRDefault="0035402D" w:rsidP="005A701E">
      <w:pPr>
        <w:spacing w:before="240" w:after="120"/>
        <w:rPr>
          <w:rFonts w:ascii="Franklin Gothic Demi Cond" w:hAnsi="Franklin Gothic Demi Cond"/>
          <w:color w:val="263F6A" w:themeColor="accent1"/>
          <w:sz w:val="28"/>
          <w:szCs w:val="28"/>
        </w:rPr>
      </w:pPr>
      <w:r>
        <w:rPr>
          <w:rFonts w:ascii="Franklin Gothic Demi Cond" w:hAnsi="Franklin Gothic Demi Cond"/>
          <w:color w:val="263F6A" w:themeColor="accent1"/>
          <w:sz w:val="28"/>
          <w:szCs w:val="28"/>
        </w:rPr>
        <w:t xml:space="preserve">Provider </w:t>
      </w:r>
      <w:r w:rsidR="006D4BC8">
        <w:rPr>
          <w:rFonts w:ascii="Franklin Gothic Demi Cond" w:hAnsi="Franklin Gothic Demi Cond"/>
          <w:color w:val="263F6A" w:themeColor="accent1"/>
          <w:sz w:val="28"/>
          <w:szCs w:val="28"/>
        </w:rPr>
        <w:t>Precautions</w:t>
      </w:r>
    </w:p>
    <w:p w14:paraId="541B15BE" w14:textId="7BFC7611" w:rsidR="0035402D" w:rsidRPr="00925EAB" w:rsidRDefault="0035402D" w:rsidP="005A701E">
      <w:pPr>
        <w:pStyle w:val="BodyText"/>
        <w:spacing w:before="5" w:after="120" w:line="237" w:lineRule="auto"/>
        <w:ind w:right="310"/>
        <w:rPr>
          <w:rFonts w:ascii="Franklin Gothic Book" w:hAnsi="Franklin Gothic Book"/>
        </w:rPr>
      </w:pPr>
      <w:r w:rsidRPr="00925EAB">
        <w:rPr>
          <w:rFonts w:ascii="Franklin Gothic Book" w:hAnsi="Franklin Gothic Book"/>
        </w:rPr>
        <w:t xml:space="preserve">Providers </w:t>
      </w:r>
      <w:r w:rsidR="007F2701">
        <w:rPr>
          <w:rFonts w:ascii="Franklin Gothic Book" w:hAnsi="Franklin Gothic Book"/>
        </w:rPr>
        <w:t>adhere</w:t>
      </w:r>
      <w:r w:rsidRPr="00925EAB">
        <w:rPr>
          <w:rFonts w:ascii="Franklin Gothic Book" w:hAnsi="Franklin Gothic Book"/>
        </w:rPr>
        <w:t xml:space="preserve"> to social distancing and relevant Vermont Department of Health and </w:t>
      </w:r>
      <w:hyperlink r:id="rId9" w:history="1">
        <w:r w:rsidRPr="00925EAB">
          <w:rPr>
            <w:rStyle w:val="Hyperlink"/>
            <w:rFonts w:ascii="Franklin Gothic Book" w:hAnsi="Franklin Gothic Book"/>
          </w:rPr>
          <w:t>Centers for Disease Control and Prevention (CDC) guidelines</w:t>
        </w:r>
      </w:hyperlink>
      <w:r w:rsidRPr="00925EAB">
        <w:rPr>
          <w:rFonts w:ascii="Franklin Gothic Book" w:hAnsi="Franklin Gothic Book"/>
        </w:rPr>
        <w:t xml:space="preserve"> regarding infection control and prevention to maintain a safe environment for patients and staff.</w:t>
      </w:r>
    </w:p>
    <w:p w14:paraId="50EA0A11" w14:textId="45D33DAF" w:rsidR="0035402D" w:rsidRDefault="0035402D" w:rsidP="005A701E">
      <w:pPr>
        <w:tabs>
          <w:tab w:val="left" w:pos="820"/>
          <w:tab w:val="left" w:pos="821"/>
        </w:tabs>
        <w:spacing w:before="205" w:after="120"/>
        <w:ind w:right="163"/>
      </w:pPr>
      <w:r w:rsidRPr="0078048A">
        <w:rPr>
          <w:b/>
        </w:rPr>
        <w:t xml:space="preserve">Screening of Staff and Visitors: </w:t>
      </w:r>
      <w:r w:rsidRPr="0078048A">
        <w:t>Adopt a written process to screen all staff and essential visitors for</w:t>
      </w:r>
      <w:r w:rsidR="002128AE">
        <w:t xml:space="preserve"> vaccination status and</w:t>
      </w:r>
      <w:r w:rsidRPr="0078048A">
        <w:t xml:space="preserve"> COVID-related symptoms prior to entering </w:t>
      </w:r>
      <w:r w:rsidR="00FF0F51">
        <w:t xml:space="preserve">the </w:t>
      </w:r>
      <w:r w:rsidRPr="0078048A">
        <w:t>facility. Symptomatic staff and visitors should be excluded from the facility and referred to their primary care</w:t>
      </w:r>
      <w:r w:rsidRPr="0078048A">
        <w:rPr>
          <w:spacing w:val="-32"/>
        </w:rPr>
        <w:t xml:space="preserve"> </w:t>
      </w:r>
      <w:r w:rsidRPr="0078048A">
        <w:t xml:space="preserve">providers for assessment and testing </w:t>
      </w:r>
      <w:r w:rsidRPr="0078048A">
        <w:rPr>
          <w:spacing w:val="-3"/>
        </w:rPr>
        <w:t>as</w:t>
      </w:r>
      <w:r w:rsidRPr="0078048A">
        <w:rPr>
          <w:spacing w:val="1"/>
        </w:rPr>
        <w:t xml:space="preserve"> </w:t>
      </w:r>
      <w:r w:rsidRPr="0078048A">
        <w:t xml:space="preserve">appropriate. </w:t>
      </w:r>
    </w:p>
    <w:p w14:paraId="70374FD3" w14:textId="60125E0B" w:rsidR="00CC62DB" w:rsidRPr="00747B42" w:rsidRDefault="00CD2A51" w:rsidP="00B97113">
      <w:pPr>
        <w:spacing w:before="240" w:after="120"/>
        <w:rPr>
          <w:rFonts w:ascii="Franklin Gothic Demi Cond" w:hAnsi="Franklin Gothic Demi Cond"/>
          <w:color w:val="263F6A" w:themeColor="accent1"/>
          <w:sz w:val="28"/>
          <w:szCs w:val="28"/>
        </w:rPr>
      </w:pPr>
      <w:r>
        <w:rPr>
          <w:rFonts w:ascii="Franklin Gothic Demi Cond" w:hAnsi="Franklin Gothic Demi Cond"/>
          <w:color w:val="263F6A" w:themeColor="accent1"/>
          <w:sz w:val="28"/>
          <w:szCs w:val="28"/>
        </w:rPr>
        <w:t>Personal Protective Equipment</w:t>
      </w:r>
    </w:p>
    <w:p w14:paraId="12397E2C" w14:textId="1DD74C7B" w:rsidR="00A449B2" w:rsidRPr="00925EAB" w:rsidRDefault="0035402D" w:rsidP="005A701E">
      <w:pPr>
        <w:widowControl w:val="0"/>
        <w:tabs>
          <w:tab w:val="left" w:pos="820"/>
          <w:tab w:val="left" w:pos="821"/>
        </w:tabs>
        <w:autoSpaceDE w:val="0"/>
        <w:autoSpaceDN w:val="0"/>
        <w:spacing w:before="203" w:after="120"/>
        <w:ind w:right="134"/>
        <w:rPr>
          <w:sz w:val="16"/>
        </w:rPr>
      </w:pPr>
      <w:r>
        <w:t>Personal Protective Equipment (PPE) and supplies must be worn to ensure staff and patient safety</w:t>
      </w:r>
      <w:r w:rsidR="00336F7F">
        <w:t xml:space="preserve"> for all</w:t>
      </w:r>
      <w:r w:rsidR="007F2701">
        <w:t xml:space="preserve"> providers providing</w:t>
      </w:r>
      <w:r w:rsidR="00336F7F">
        <w:t xml:space="preserve"> </w:t>
      </w:r>
      <w:r w:rsidR="007F2701">
        <w:t>m</w:t>
      </w:r>
      <w:r w:rsidR="00336F7F">
        <w:t xml:space="preserve">edium and </w:t>
      </w:r>
      <w:r w:rsidR="007F2701">
        <w:t>h</w:t>
      </w:r>
      <w:r w:rsidR="00336F7F">
        <w:t>igh-</w:t>
      </w:r>
      <w:r w:rsidR="007F2701">
        <w:t>r</w:t>
      </w:r>
      <w:r w:rsidR="00336F7F">
        <w:t xml:space="preserve">isk </w:t>
      </w:r>
      <w:r w:rsidR="007F2701">
        <w:t>care</w:t>
      </w:r>
      <w:r>
        <w:t xml:space="preserve">. This may require surgical, N95, KN95, or other equivalent masks and eye protection goggles or face shields. Providers must adhere to </w:t>
      </w:r>
      <w:hyperlink r:id="rId10" w:history="1">
        <w:r w:rsidRPr="007F29D9">
          <w:rPr>
            <w:rStyle w:val="Hyperlink"/>
          </w:rPr>
          <w:t>CDC’s Standard and Transmission-Based</w:t>
        </w:r>
        <w:r w:rsidRPr="00925EAB">
          <w:rPr>
            <w:rStyle w:val="Hyperlink"/>
            <w:spacing w:val="-2"/>
          </w:rPr>
          <w:t xml:space="preserve"> </w:t>
        </w:r>
        <w:r w:rsidRPr="007F29D9">
          <w:rPr>
            <w:rStyle w:val="Hyperlink"/>
          </w:rPr>
          <w:t>Precautions</w:t>
        </w:r>
      </w:hyperlink>
      <w:r>
        <w:t>.</w:t>
      </w:r>
    </w:p>
    <w:p w14:paraId="135DEBF7" w14:textId="6F82B445" w:rsidR="0035402D" w:rsidRDefault="0035402D" w:rsidP="005A701E">
      <w:pPr>
        <w:widowControl w:val="0"/>
        <w:tabs>
          <w:tab w:val="left" w:pos="820"/>
          <w:tab w:val="left" w:pos="821"/>
        </w:tabs>
        <w:autoSpaceDE w:val="0"/>
        <w:autoSpaceDN w:val="0"/>
        <w:spacing w:before="203" w:after="120"/>
        <w:ind w:right="134"/>
      </w:pPr>
      <w:r>
        <w:t>Only individuals who are essential to conducting the surgery or procedure shall be in</w:t>
      </w:r>
      <w:r w:rsidRPr="00925EAB">
        <w:rPr>
          <w:spacing w:val="-37"/>
        </w:rPr>
        <w:t xml:space="preserve"> </w:t>
      </w:r>
      <w:r>
        <w:t>the surgery or procedure suite or other patient care areas.</w:t>
      </w:r>
    </w:p>
    <w:p w14:paraId="2E5132D0" w14:textId="1C99C91D" w:rsidR="007F2701" w:rsidRDefault="00454AEA" w:rsidP="005A701E">
      <w:pPr>
        <w:spacing w:before="240" w:after="120"/>
        <w:rPr>
          <w:rFonts w:ascii="Franklin Gothic Demi Cond" w:hAnsi="Franklin Gothic Demi Cond"/>
          <w:color w:val="263F6A" w:themeColor="accent1"/>
          <w:sz w:val="28"/>
          <w:szCs w:val="28"/>
        </w:rPr>
      </w:pPr>
      <w:r>
        <w:rPr>
          <w:rFonts w:ascii="Franklin Gothic Demi Cond" w:hAnsi="Franklin Gothic Demi Cond"/>
          <w:color w:val="263F6A" w:themeColor="accent1"/>
          <w:sz w:val="28"/>
          <w:szCs w:val="28"/>
        </w:rPr>
        <w:t>Care</w:t>
      </w:r>
      <w:r w:rsidR="007F2701">
        <w:rPr>
          <w:rFonts w:ascii="Franklin Gothic Demi Cond" w:hAnsi="Franklin Gothic Demi Cond"/>
          <w:color w:val="263F6A" w:themeColor="accent1"/>
          <w:sz w:val="28"/>
          <w:szCs w:val="28"/>
        </w:rPr>
        <w:t xml:space="preserve"> Hazard Levels</w:t>
      </w:r>
    </w:p>
    <w:p w14:paraId="1BE4E93F" w14:textId="0FF3289B" w:rsidR="007F2701" w:rsidRDefault="007F2701" w:rsidP="005A701E">
      <w:pPr>
        <w:pStyle w:val="BodyText"/>
        <w:spacing w:after="120"/>
        <w:ind w:right="496"/>
        <w:rPr>
          <w:rFonts w:ascii="Franklin Gothic Book" w:hAnsi="Franklin Gothic Book"/>
          <w:b/>
          <w:bCs/>
        </w:rPr>
      </w:pPr>
      <w:r>
        <w:rPr>
          <w:rFonts w:ascii="Franklin Gothic Book" w:hAnsi="Franklin Gothic Book"/>
        </w:rPr>
        <w:t xml:space="preserve">For the purposes of </w:t>
      </w:r>
      <w:r w:rsidR="00CD2A51">
        <w:rPr>
          <w:rFonts w:ascii="Franklin Gothic Book" w:hAnsi="Franklin Gothic Book"/>
        </w:rPr>
        <w:t>utilizing appropriate PPE</w:t>
      </w:r>
      <w:r>
        <w:rPr>
          <w:rFonts w:ascii="Franklin Gothic Book" w:hAnsi="Franklin Gothic Book"/>
        </w:rPr>
        <w:t>, there are risk levels described below.</w:t>
      </w:r>
      <w:r w:rsidRPr="00336F7F">
        <w:rPr>
          <w:rFonts w:ascii="Franklin Gothic Book" w:hAnsi="Franklin Gothic Book"/>
        </w:rPr>
        <w:t xml:space="preserve"> </w:t>
      </w:r>
      <w:r>
        <w:rPr>
          <w:rFonts w:ascii="Franklin Gothic Book" w:hAnsi="Franklin Gothic Book"/>
        </w:rPr>
        <w:t>E</w:t>
      </w:r>
      <w:r w:rsidRPr="00336F7F">
        <w:rPr>
          <w:rFonts w:ascii="Franklin Gothic Book" w:hAnsi="Franklin Gothic Book"/>
        </w:rPr>
        <w:t xml:space="preserve">xamples are given by license type, </w:t>
      </w:r>
      <w:r>
        <w:rPr>
          <w:rFonts w:ascii="Franklin Gothic Book" w:hAnsi="Franklin Gothic Book"/>
        </w:rPr>
        <w:t xml:space="preserve">but </w:t>
      </w:r>
      <w:r w:rsidRPr="00336F7F">
        <w:rPr>
          <w:rFonts w:ascii="Franklin Gothic Book" w:hAnsi="Franklin Gothic Book"/>
        </w:rPr>
        <w:t>it is the obligation of the provider to determine the risk category their practice occupies. In addition, if a provider performs a procedure that has a greater opportunity for infection, that provider must apply appropriate mitigation methods</w:t>
      </w:r>
      <w:r>
        <w:rPr>
          <w:rFonts w:ascii="Franklin Gothic Book" w:hAnsi="Franklin Gothic Book"/>
        </w:rPr>
        <w:t xml:space="preserve"> (PPE, provider testing etc.)</w:t>
      </w:r>
      <w:r w:rsidRPr="00336F7F">
        <w:rPr>
          <w:rFonts w:ascii="Franklin Gothic Book" w:hAnsi="Franklin Gothic Book"/>
        </w:rPr>
        <w:t xml:space="preserve">. </w:t>
      </w:r>
      <w:bookmarkStart w:id="2" w:name="_Hlk47352868"/>
      <w:r w:rsidRPr="00336F7F">
        <w:rPr>
          <w:rFonts w:ascii="Franklin Gothic Book" w:hAnsi="Franklin Gothic Book"/>
        </w:rPr>
        <w:t xml:space="preserve">For example, </w:t>
      </w:r>
      <w:r w:rsidR="005C64BC">
        <w:rPr>
          <w:rFonts w:ascii="Franklin Gothic Book" w:hAnsi="Franklin Gothic Book"/>
        </w:rPr>
        <w:t xml:space="preserve">the care provided by </w:t>
      </w:r>
      <w:r w:rsidRPr="00336F7F">
        <w:rPr>
          <w:rFonts w:ascii="Franklin Gothic Book" w:hAnsi="Franklin Gothic Book"/>
        </w:rPr>
        <w:t xml:space="preserve">licensed midwives may </w:t>
      </w:r>
      <w:r>
        <w:rPr>
          <w:rFonts w:ascii="Franklin Gothic Book" w:hAnsi="Franklin Gothic Book"/>
        </w:rPr>
        <w:t>be</w:t>
      </w:r>
      <w:r w:rsidRPr="00336F7F">
        <w:rPr>
          <w:rFonts w:ascii="Franklin Gothic Book" w:hAnsi="Franklin Gothic Book"/>
        </w:rPr>
        <w:t xml:space="preserve"> </w:t>
      </w:r>
      <w:r w:rsidR="005C64BC">
        <w:rPr>
          <w:rFonts w:ascii="Franklin Gothic Book" w:hAnsi="Franklin Gothic Book"/>
        </w:rPr>
        <w:t>l</w:t>
      </w:r>
      <w:r w:rsidRPr="00336F7F">
        <w:rPr>
          <w:rFonts w:ascii="Franklin Gothic Book" w:hAnsi="Franklin Gothic Book"/>
        </w:rPr>
        <w:t xml:space="preserve">ow </w:t>
      </w:r>
      <w:r w:rsidR="005C64BC">
        <w:rPr>
          <w:rFonts w:ascii="Franklin Gothic Book" w:hAnsi="Franklin Gothic Book"/>
        </w:rPr>
        <w:t>h</w:t>
      </w:r>
      <w:r w:rsidRPr="00336F7F">
        <w:rPr>
          <w:rFonts w:ascii="Franklin Gothic Book" w:hAnsi="Franklin Gothic Book"/>
        </w:rPr>
        <w:t xml:space="preserve">azard when meeting with clients, but </w:t>
      </w:r>
      <w:r w:rsidR="005C64BC">
        <w:rPr>
          <w:rFonts w:ascii="Franklin Gothic Book" w:hAnsi="Franklin Gothic Book"/>
        </w:rPr>
        <w:t>h</w:t>
      </w:r>
      <w:r w:rsidRPr="00336F7F">
        <w:rPr>
          <w:rFonts w:ascii="Franklin Gothic Book" w:hAnsi="Franklin Gothic Book"/>
        </w:rPr>
        <w:t xml:space="preserve">igh </w:t>
      </w:r>
      <w:r w:rsidR="005C64BC">
        <w:rPr>
          <w:rFonts w:ascii="Franklin Gothic Book" w:hAnsi="Franklin Gothic Book"/>
        </w:rPr>
        <w:t>h</w:t>
      </w:r>
      <w:r w:rsidRPr="00336F7F">
        <w:rPr>
          <w:rFonts w:ascii="Franklin Gothic Book" w:hAnsi="Franklin Gothic Book"/>
        </w:rPr>
        <w:t xml:space="preserve">azard </w:t>
      </w:r>
      <w:r w:rsidR="005C64BC">
        <w:rPr>
          <w:rFonts w:ascii="Franklin Gothic Book" w:hAnsi="Franklin Gothic Book"/>
        </w:rPr>
        <w:t>when</w:t>
      </w:r>
      <w:r w:rsidRPr="00336F7F">
        <w:rPr>
          <w:rFonts w:ascii="Franklin Gothic Book" w:hAnsi="Franklin Gothic Book"/>
        </w:rPr>
        <w:t xml:space="preserve"> </w:t>
      </w:r>
      <w:r w:rsidR="005C64BC">
        <w:rPr>
          <w:rFonts w:ascii="Franklin Gothic Book" w:hAnsi="Franklin Gothic Book"/>
        </w:rPr>
        <w:t>attending a</w:t>
      </w:r>
      <w:r w:rsidRPr="00336F7F">
        <w:rPr>
          <w:rFonts w:ascii="Franklin Gothic Book" w:hAnsi="Franklin Gothic Book"/>
        </w:rPr>
        <w:t xml:space="preserve"> birth. When in doubt, the provider </w:t>
      </w:r>
      <w:r>
        <w:rPr>
          <w:rFonts w:ascii="Franklin Gothic Book" w:hAnsi="Franklin Gothic Book"/>
        </w:rPr>
        <w:t>should take more stringent precautions</w:t>
      </w:r>
      <w:r w:rsidRPr="00336F7F">
        <w:rPr>
          <w:rFonts w:ascii="Franklin Gothic Book" w:hAnsi="Franklin Gothic Book"/>
        </w:rPr>
        <w:t>.</w:t>
      </w:r>
      <w:bookmarkEnd w:id="2"/>
    </w:p>
    <w:p w14:paraId="7A0CBD24" w14:textId="040B9B18" w:rsidR="007F2701" w:rsidRPr="00336F7F" w:rsidRDefault="007F2701" w:rsidP="005A701E">
      <w:pPr>
        <w:pStyle w:val="BodyText"/>
        <w:spacing w:before="1" w:after="120"/>
        <w:ind w:right="231"/>
        <w:rPr>
          <w:rFonts w:ascii="Franklin Gothic Book" w:hAnsi="Franklin Gothic Book"/>
        </w:rPr>
      </w:pPr>
      <w:r w:rsidRPr="00336F7F">
        <w:rPr>
          <w:rFonts w:ascii="Franklin Gothic Book" w:hAnsi="Franklin Gothic Book"/>
          <w:b/>
          <w:bCs/>
        </w:rPr>
        <w:t>Low Hazard</w:t>
      </w:r>
      <w:r>
        <w:rPr>
          <w:rFonts w:ascii="Franklin Gothic Book" w:hAnsi="Franklin Gothic Book"/>
        </w:rPr>
        <w:t xml:space="preserve">: </w:t>
      </w:r>
      <w:r w:rsidRPr="00336F7F">
        <w:rPr>
          <w:rFonts w:ascii="Franklin Gothic Book" w:hAnsi="Franklin Gothic Book"/>
        </w:rPr>
        <w:t>This includes care provided without physical contact (e.g., Licensed Alcohol &amp; Drug Abuse Counselors, Allied Mental Health, Dieticians, Pharmacists, Psychoanalysts, Psychologists, Social Workers, and Nursing Home Administrators).</w:t>
      </w:r>
    </w:p>
    <w:p w14:paraId="6BC36117" w14:textId="4C498730" w:rsidR="007F2701" w:rsidRPr="00336F7F" w:rsidRDefault="007F2701" w:rsidP="005A701E">
      <w:pPr>
        <w:pStyle w:val="BodyText"/>
        <w:spacing w:after="120"/>
        <w:ind w:right="260"/>
        <w:rPr>
          <w:rFonts w:ascii="Franklin Gothic Book" w:hAnsi="Franklin Gothic Book"/>
          <w:b/>
        </w:rPr>
      </w:pPr>
      <w:r w:rsidRPr="00336F7F">
        <w:rPr>
          <w:rFonts w:ascii="Franklin Gothic Book" w:hAnsi="Franklin Gothic Book"/>
          <w:b/>
          <w:bCs/>
        </w:rPr>
        <w:t>Medium Hazard</w:t>
      </w:r>
      <w:r>
        <w:rPr>
          <w:rFonts w:ascii="Franklin Gothic Book" w:hAnsi="Franklin Gothic Book"/>
        </w:rPr>
        <w:t xml:space="preserve">: </w:t>
      </w:r>
      <w:r w:rsidRPr="00336F7F">
        <w:rPr>
          <w:rFonts w:ascii="Franklin Gothic Book" w:hAnsi="Franklin Gothic Book"/>
        </w:rPr>
        <w:t xml:space="preserve">This includes care provided with physical contact, but that may not necessarily expose a patient, provider or staff to virus-containing effluvia, </w:t>
      </w:r>
      <w:r>
        <w:rPr>
          <w:rFonts w:ascii="Franklin Gothic Book" w:hAnsi="Franklin Gothic Book"/>
        </w:rPr>
        <w:t>(</w:t>
      </w:r>
      <w:r w:rsidRPr="00336F7F">
        <w:rPr>
          <w:rFonts w:ascii="Franklin Gothic Book" w:hAnsi="Franklin Gothic Book"/>
        </w:rPr>
        <w:t>e.g. Acupuncturists, Chiropractic, Applied Behavior Analysts, Midwives, Occupational Therapists, Physical Therapists, Radiologic Technology, Opticians, Optometrists</w:t>
      </w:r>
      <w:r>
        <w:rPr>
          <w:rFonts w:ascii="Franklin Gothic Book" w:hAnsi="Franklin Gothic Book"/>
        </w:rPr>
        <w:t>).</w:t>
      </w:r>
    </w:p>
    <w:p w14:paraId="7289D81C" w14:textId="0B7FCEBE" w:rsidR="007248AC" w:rsidRDefault="007F2701" w:rsidP="007D3324">
      <w:pPr>
        <w:pStyle w:val="BodyText"/>
        <w:spacing w:after="120" w:line="237" w:lineRule="auto"/>
        <w:ind w:right="944"/>
        <w:rPr>
          <w:rFonts w:ascii="Franklin Gothic Demi Cond" w:hAnsi="Franklin Gothic Demi Cond"/>
          <w:color w:val="263F6A" w:themeColor="accent1"/>
          <w:sz w:val="28"/>
          <w:szCs w:val="28"/>
        </w:rPr>
      </w:pPr>
      <w:r w:rsidRPr="00336F7F">
        <w:rPr>
          <w:rFonts w:ascii="Franklin Gothic Book" w:hAnsi="Franklin Gothic Book"/>
          <w:b/>
          <w:bCs/>
        </w:rPr>
        <w:t>High Hazard</w:t>
      </w:r>
      <w:r>
        <w:rPr>
          <w:rFonts w:ascii="Franklin Gothic Book" w:hAnsi="Franklin Gothic Book"/>
        </w:rPr>
        <w:t xml:space="preserve">: </w:t>
      </w:r>
      <w:r w:rsidRPr="00336F7F">
        <w:rPr>
          <w:rFonts w:ascii="Franklin Gothic Book" w:hAnsi="Franklin Gothic Book"/>
        </w:rPr>
        <w:t xml:space="preserve">This includes care that is likely to expose a patient, provider, and staff to COVID-19, </w:t>
      </w:r>
      <w:r>
        <w:rPr>
          <w:rFonts w:ascii="Franklin Gothic Book" w:hAnsi="Franklin Gothic Book"/>
        </w:rPr>
        <w:t>(</w:t>
      </w:r>
      <w:proofErr w:type="gramStart"/>
      <w:r w:rsidRPr="00336F7F">
        <w:rPr>
          <w:rFonts w:ascii="Franklin Gothic Book" w:hAnsi="Franklin Gothic Book"/>
        </w:rPr>
        <w:t>e.g.</w:t>
      </w:r>
      <w:proofErr w:type="gramEnd"/>
      <w:r w:rsidRPr="00336F7F">
        <w:rPr>
          <w:rFonts w:ascii="Franklin Gothic Book" w:hAnsi="Franklin Gothic Book"/>
        </w:rPr>
        <w:t xml:space="preserve"> Physicians, Physician Assistants, Nurses, Naturopaths, and Doctors of Osteopathy</w:t>
      </w:r>
      <w:r>
        <w:rPr>
          <w:rFonts w:ascii="Franklin Gothic Book" w:hAnsi="Franklin Gothic Book"/>
        </w:rPr>
        <w:t>)</w:t>
      </w:r>
      <w:r w:rsidRPr="00336F7F">
        <w:rPr>
          <w:rFonts w:ascii="Franklin Gothic Book" w:hAnsi="Franklin Gothic Book"/>
        </w:rPr>
        <w:t>.</w:t>
      </w:r>
    </w:p>
    <w:p w14:paraId="2E6CAB79" w14:textId="162A5EF7" w:rsidR="0035402D" w:rsidRDefault="0035402D" w:rsidP="005A701E">
      <w:pPr>
        <w:spacing w:before="240" w:after="120"/>
        <w:rPr>
          <w:rFonts w:ascii="Franklin Gothic Demi Cond" w:hAnsi="Franklin Gothic Demi Cond"/>
          <w:color w:val="263F6A" w:themeColor="accent1"/>
          <w:sz w:val="28"/>
          <w:szCs w:val="28"/>
        </w:rPr>
      </w:pPr>
      <w:r>
        <w:rPr>
          <w:rFonts w:ascii="Franklin Gothic Demi Cond" w:hAnsi="Franklin Gothic Demi Cond"/>
          <w:color w:val="263F6A" w:themeColor="accent1"/>
          <w:sz w:val="28"/>
          <w:szCs w:val="28"/>
        </w:rPr>
        <w:t xml:space="preserve">Facility and </w:t>
      </w:r>
      <w:r w:rsidR="006D4BC8">
        <w:rPr>
          <w:rFonts w:ascii="Franklin Gothic Demi Cond" w:hAnsi="Franklin Gothic Demi Cond"/>
          <w:color w:val="263F6A" w:themeColor="accent1"/>
          <w:sz w:val="28"/>
          <w:szCs w:val="28"/>
        </w:rPr>
        <w:t>P</w:t>
      </w:r>
      <w:r>
        <w:rPr>
          <w:rFonts w:ascii="Franklin Gothic Demi Cond" w:hAnsi="Franklin Gothic Demi Cond"/>
          <w:color w:val="263F6A" w:themeColor="accent1"/>
          <w:sz w:val="28"/>
          <w:szCs w:val="28"/>
        </w:rPr>
        <w:t xml:space="preserve">ractice </w:t>
      </w:r>
      <w:r w:rsidR="006D4BC8">
        <w:rPr>
          <w:rFonts w:ascii="Franklin Gothic Demi Cond" w:hAnsi="Franklin Gothic Demi Cond"/>
          <w:color w:val="263F6A" w:themeColor="accent1"/>
          <w:sz w:val="28"/>
          <w:szCs w:val="28"/>
        </w:rPr>
        <w:t>Precautions</w:t>
      </w:r>
    </w:p>
    <w:p w14:paraId="297E89F7" w14:textId="4D6C93B2" w:rsidR="0035402D" w:rsidRPr="00925EAB" w:rsidRDefault="0035402D" w:rsidP="005A701E">
      <w:pPr>
        <w:widowControl w:val="0"/>
        <w:tabs>
          <w:tab w:val="left" w:pos="820"/>
          <w:tab w:val="left" w:pos="821"/>
        </w:tabs>
        <w:autoSpaceDE w:val="0"/>
        <w:autoSpaceDN w:val="0"/>
        <w:spacing w:before="200" w:after="120" w:line="235" w:lineRule="auto"/>
        <w:ind w:right="1375"/>
        <w:rPr>
          <w:sz w:val="16"/>
        </w:rPr>
      </w:pPr>
      <w:r>
        <w:t xml:space="preserve">Waiting room chairs must be spaced to ensure </w:t>
      </w:r>
      <w:hyperlink r:id="rId11" w:history="1">
        <w:r w:rsidRPr="007F29D9">
          <w:rPr>
            <w:rStyle w:val="Hyperlink"/>
          </w:rPr>
          <w:t>CDC- recommended social</w:t>
        </w:r>
        <w:r w:rsidRPr="00925EAB">
          <w:rPr>
            <w:rStyle w:val="Hyperlink"/>
            <w:spacing w:val="-1"/>
          </w:rPr>
          <w:t xml:space="preserve"> </w:t>
        </w:r>
        <w:r w:rsidRPr="007F29D9">
          <w:rPr>
            <w:rStyle w:val="Hyperlink"/>
          </w:rPr>
          <w:t>distancing</w:t>
        </w:r>
      </w:hyperlink>
      <w:r>
        <w:t>.</w:t>
      </w:r>
    </w:p>
    <w:p w14:paraId="767F8186" w14:textId="77777777" w:rsidR="0035402D" w:rsidRPr="00925EAB" w:rsidRDefault="0035402D" w:rsidP="005A701E">
      <w:pPr>
        <w:widowControl w:val="0"/>
        <w:tabs>
          <w:tab w:val="left" w:pos="820"/>
          <w:tab w:val="left" w:pos="821"/>
        </w:tabs>
        <w:autoSpaceDE w:val="0"/>
        <w:autoSpaceDN w:val="0"/>
        <w:spacing w:before="209" w:after="120" w:line="235" w:lineRule="auto"/>
        <w:ind w:right="681"/>
        <w:rPr>
          <w:sz w:val="16"/>
        </w:rPr>
      </w:pPr>
      <w:r>
        <w:t>Providers must have written procedures for disinfection of all common areas.</w:t>
      </w:r>
      <w:r w:rsidRPr="00925EAB">
        <w:rPr>
          <w:spacing w:val="-36"/>
        </w:rPr>
        <w:t xml:space="preserve"> </w:t>
      </w:r>
      <w:r>
        <w:t xml:space="preserve">Such </w:t>
      </w:r>
      <w:r>
        <w:lastRenderedPageBreak/>
        <w:t xml:space="preserve">procedures must be consistent with </w:t>
      </w:r>
      <w:hyperlink r:id="rId12" w:history="1">
        <w:r w:rsidRPr="007F29D9">
          <w:rPr>
            <w:rStyle w:val="Hyperlink"/>
          </w:rPr>
          <w:t>CDC</w:t>
        </w:r>
        <w:r w:rsidRPr="00925EAB">
          <w:rPr>
            <w:rStyle w:val="Hyperlink"/>
            <w:spacing w:val="2"/>
          </w:rPr>
          <w:t xml:space="preserve"> </w:t>
        </w:r>
        <w:r w:rsidRPr="007F29D9">
          <w:rPr>
            <w:rStyle w:val="Hyperlink"/>
          </w:rPr>
          <w:t>guidelines</w:t>
        </w:r>
      </w:hyperlink>
      <w:r>
        <w:t>.</w:t>
      </w:r>
    </w:p>
    <w:p w14:paraId="1498E5BF" w14:textId="0EE29375" w:rsidR="0035402D" w:rsidRDefault="0035402D" w:rsidP="005A701E">
      <w:pPr>
        <w:widowControl w:val="0"/>
        <w:tabs>
          <w:tab w:val="left" w:pos="820"/>
          <w:tab w:val="left" w:pos="821"/>
        </w:tabs>
        <w:autoSpaceDE w:val="0"/>
        <w:autoSpaceDN w:val="0"/>
        <w:spacing w:before="205" w:after="120"/>
        <w:ind w:right="117"/>
      </w:pPr>
      <w:r>
        <w:t xml:space="preserve">Providers must have signage to emphasize social restrictions (distancing, coughing etiquette, wearing of mouth and nose coverings, </w:t>
      </w:r>
      <w:r w:rsidRPr="00925EAB">
        <w:rPr>
          <w:spacing w:val="-3"/>
        </w:rPr>
        <w:t xml:space="preserve">hand </w:t>
      </w:r>
      <w:r>
        <w:t>hygiene) and make hand sanitizer available to all patients, visitors</w:t>
      </w:r>
      <w:r w:rsidR="00740419">
        <w:t>,</w:t>
      </w:r>
      <w:r>
        <w:t xml:space="preserve"> and</w:t>
      </w:r>
      <w:r w:rsidRPr="00925EAB">
        <w:rPr>
          <w:spacing w:val="-4"/>
        </w:rPr>
        <w:t xml:space="preserve"> </w:t>
      </w:r>
      <w:r>
        <w:t>staff.</w:t>
      </w:r>
    </w:p>
    <w:p w14:paraId="262287F1" w14:textId="267AAD71" w:rsidR="00925EAB" w:rsidRDefault="0035402D" w:rsidP="005A701E">
      <w:pPr>
        <w:widowControl w:val="0"/>
        <w:tabs>
          <w:tab w:val="left" w:pos="820"/>
          <w:tab w:val="left" w:pos="821"/>
        </w:tabs>
        <w:autoSpaceDE w:val="0"/>
        <w:autoSpaceDN w:val="0"/>
        <w:spacing w:before="199" w:after="120" w:line="242" w:lineRule="auto"/>
        <w:ind w:right="1432"/>
        <w:rPr>
          <w:b/>
        </w:rPr>
      </w:pPr>
      <w:r>
        <w:t>Providers shall continue to offer alternative care delivery models,</w:t>
      </w:r>
      <w:r w:rsidRPr="00925EAB">
        <w:rPr>
          <w:spacing w:val="-29"/>
        </w:rPr>
        <w:t xml:space="preserve"> </w:t>
      </w:r>
      <w:r>
        <w:t>including telemedicine, when appropriate.</w:t>
      </w:r>
    </w:p>
    <w:p w14:paraId="32A6A1C8" w14:textId="4B5C80FF" w:rsidR="00925EAB" w:rsidRDefault="006A1E63" w:rsidP="005A701E">
      <w:pPr>
        <w:widowControl w:val="0"/>
        <w:tabs>
          <w:tab w:val="left" w:pos="820"/>
          <w:tab w:val="left" w:pos="821"/>
        </w:tabs>
        <w:autoSpaceDE w:val="0"/>
        <w:autoSpaceDN w:val="0"/>
        <w:spacing w:after="120"/>
        <w:ind w:right="294"/>
        <w:rPr>
          <w:b/>
        </w:rPr>
      </w:pPr>
      <w:r w:rsidRPr="00925EAB">
        <w:rPr>
          <w:b/>
        </w:rPr>
        <w:t>Available Personal Protection Equipment</w:t>
      </w:r>
      <w:r>
        <w:t>: Each clinic will be responsible to ensure that it has adequate supplies of PPE, through its own suppliers, to comply with these and future guidelines. Providers will not rely on State sources or State supply chain for</w:t>
      </w:r>
      <w:r w:rsidRPr="00925EAB">
        <w:rPr>
          <w:spacing w:val="-1"/>
        </w:rPr>
        <w:t xml:space="preserve"> </w:t>
      </w:r>
      <w:r>
        <w:t>PPE</w:t>
      </w:r>
      <w:r w:rsidR="00925EAB">
        <w:t xml:space="preserve"> for non-emergent situations.</w:t>
      </w:r>
    </w:p>
    <w:p w14:paraId="5F61BC8D" w14:textId="2EBD0C48" w:rsidR="006A1E63" w:rsidRDefault="006A1E63" w:rsidP="005A701E">
      <w:pPr>
        <w:widowControl w:val="0"/>
        <w:tabs>
          <w:tab w:val="left" w:pos="820"/>
          <w:tab w:val="left" w:pos="821"/>
        </w:tabs>
        <w:autoSpaceDE w:val="0"/>
        <w:autoSpaceDN w:val="0"/>
        <w:spacing w:after="120"/>
        <w:ind w:right="269"/>
      </w:pPr>
      <w:r w:rsidRPr="00925EAB">
        <w:rPr>
          <w:b/>
        </w:rPr>
        <w:t xml:space="preserve">Surge Capacity: </w:t>
      </w:r>
      <w:r w:rsidR="00740419">
        <w:rPr>
          <w:bCs/>
        </w:rPr>
        <w:t>W</w:t>
      </w:r>
      <w:r w:rsidRPr="00925EAB">
        <w:rPr>
          <w:bCs/>
        </w:rPr>
        <w:t xml:space="preserve">hen providing non-emergent care, </w:t>
      </w:r>
      <w:r>
        <w:t>hospitals must have a plan to promptly expand their critical care/inpatient capacity to handle a local surge of COVID- 19 patients in their</w:t>
      </w:r>
      <w:r w:rsidRPr="00925EAB">
        <w:rPr>
          <w:spacing w:val="-3"/>
        </w:rPr>
        <w:t xml:space="preserve"> </w:t>
      </w:r>
      <w:r>
        <w:t>community.</w:t>
      </w:r>
    </w:p>
    <w:p w14:paraId="1B459D79" w14:textId="78631F3C" w:rsidR="00336F7F" w:rsidRPr="00336F7F" w:rsidRDefault="00336F7F" w:rsidP="00CD2A51">
      <w:pPr>
        <w:pStyle w:val="BodyText"/>
        <w:spacing w:after="120"/>
        <w:ind w:left="720" w:right="232"/>
        <w:rPr>
          <w:rFonts w:ascii="Franklin Gothic Book" w:hAnsi="Franklin Gothic Book"/>
        </w:rPr>
      </w:pPr>
      <w:bookmarkStart w:id="3" w:name="Suspension_of_Operations"/>
      <w:bookmarkEnd w:id="3"/>
    </w:p>
    <w:sectPr w:rsidR="00336F7F" w:rsidRPr="00336F7F" w:rsidSect="005B5785">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D5DC" w14:textId="77777777" w:rsidR="00613A93" w:rsidRDefault="00613A93" w:rsidP="005B5785">
      <w:r>
        <w:separator/>
      </w:r>
    </w:p>
  </w:endnote>
  <w:endnote w:type="continuationSeparator" w:id="0">
    <w:p w14:paraId="1F2D76BB" w14:textId="77777777" w:rsidR="00613A93" w:rsidRDefault="00613A93" w:rsidP="005B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8BA8" w14:textId="77777777" w:rsidR="00A47C72" w:rsidRDefault="00A4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844515"/>
      <w:docPartObj>
        <w:docPartGallery w:val="Page Numbers (Bottom of Page)"/>
        <w:docPartUnique/>
      </w:docPartObj>
    </w:sdtPr>
    <w:sdtEndPr>
      <w:rPr>
        <w:noProof/>
      </w:rPr>
    </w:sdtEndPr>
    <w:sdtContent>
      <w:p w14:paraId="62042DCD" w14:textId="13BC5853" w:rsidR="00E35390" w:rsidRDefault="00E353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A2C9B" w14:textId="77777777" w:rsidR="00E35390" w:rsidRDefault="00E35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A589" w14:textId="77777777" w:rsidR="00A47C72" w:rsidRDefault="00A4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397E" w14:textId="77777777" w:rsidR="00613A93" w:rsidRDefault="00613A93" w:rsidP="005B5785">
      <w:r>
        <w:separator/>
      </w:r>
    </w:p>
  </w:footnote>
  <w:footnote w:type="continuationSeparator" w:id="0">
    <w:p w14:paraId="5A2A8939" w14:textId="77777777" w:rsidR="00613A93" w:rsidRDefault="00613A93" w:rsidP="005B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DCA2" w14:textId="77777777" w:rsidR="00A47C72" w:rsidRDefault="00A4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4338" w14:textId="77777777" w:rsidR="00A47C72" w:rsidRDefault="00A4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881C" w14:textId="04F60D3C" w:rsidR="005B5785" w:rsidRDefault="005B5785">
    <w:pPr>
      <w:pStyle w:val="Header"/>
    </w:pPr>
    <w:r w:rsidRPr="00497CE6">
      <w:rPr>
        <w:noProof/>
        <w:color w:val="FFFFFF" w:themeColor="background1"/>
      </w:rPr>
      <mc:AlternateContent>
        <mc:Choice Requires="wpg">
          <w:drawing>
            <wp:anchor distT="0" distB="0" distL="114300" distR="114300" simplePos="0" relativeHeight="251661312" behindDoc="0" locked="0" layoutInCell="1" allowOverlap="1" wp14:anchorId="6E66651A" wp14:editId="66EB4090">
              <wp:simplePos x="0" y="0"/>
              <wp:positionH relativeFrom="margin">
                <wp:posOffset>-727075</wp:posOffset>
              </wp:positionH>
              <wp:positionV relativeFrom="paragraph">
                <wp:posOffset>-70757</wp:posOffset>
              </wp:positionV>
              <wp:extent cx="7397115" cy="1609725"/>
              <wp:effectExtent l="0" t="0" r="0" b="9525"/>
              <wp:wrapNone/>
              <wp:docPr id="1" name="Group 1"/>
              <wp:cNvGraphicFramePr/>
              <a:graphic xmlns:a="http://schemas.openxmlformats.org/drawingml/2006/main">
                <a:graphicData uri="http://schemas.microsoft.com/office/word/2010/wordprocessingGroup">
                  <wpg:wgp>
                    <wpg:cNvGrpSpPr/>
                    <wpg:grpSpPr>
                      <a:xfrm>
                        <a:off x="0" y="0"/>
                        <a:ext cx="7397115" cy="1609725"/>
                        <a:chOff x="0" y="0"/>
                        <a:chExt cx="7397115" cy="1610263"/>
                      </a:xfrm>
                    </wpg:grpSpPr>
                    <wps:wsp>
                      <wps:cNvPr id="2" name="Rectangle 2"/>
                      <wps:cNvSpPr/>
                      <wps:spPr>
                        <a:xfrm>
                          <a:off x="0" y="0"/>
                          <a:ext cx="7397115" cy="10553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52189"/>
                          <a:ext cx="7397115" cy="51996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658679" y="209550"/>
                          <a:ext cx="5505450" cy="772309"/>
                        </a:xfrm>
                        <a:prstGeom prst="rect">
                          <a:avLst/>
                        </a:prstGeom>
                        <a:noFill/>
                        <a:ln w="9525">
                          <a:noFill/>
                          <a:miter lim="800000"/>
                          <a:headEnd/>
                          <a:tailEnd/>
                        </a:ln>
                      </wps:spPr>
                      <wps:txbx>
                        <w:txbxContent>
                          <w:p w14:paraId="5E11406D" w14:textId="4F53CECB" w:rsidR="005B5785" w:rsidRPr="005B5785" w:rsidRDefault="005B5785" w:rsidP="005B5785">
                            <w:pPr>
                              <w:pStyle w:val="Title"/>
                              <w:spacing w:line="240" w:lineRule="auto"/>
                              <w:rPr>
                                <w:sz w:val="40"/>
                                <w:szCs w:val="24"/>
                              </w:rPr>
                            </w:pPr>
                            <w:r>
                              <w:t xml:space="preserve">COVID-19 </w:t>
                            </w:r>
                            <w:r w:rsidR="00617F9C">
                              <w:t xml:space="preserve">Guidance for </w:t>
                            </w:r>
                            <w:r w:rsidR="0070409E">
                              <w:t xml:space="preserve">Inpatient </w:t>
                            </w:r>
                            <w:r w:rsidR="00633C1B">
                              <w:t xml:space="preserve">and </w:t>
                            </w:r>
                            <w:r w:rsidR="0070409E">
                              <w:t>Outpatient Procedures</w:t>
                            </w:r>
                          </w:p>
                        </w:txbxContent>
                      </wps:txbx>
                      <wps:bodyPr rot="0" vert="horz" wrap="square" lIns="91440" tIns="45720" rIns="91440" bIns="45720" anchor="ctr" anchorCtr="0">
                        <a:noAutofit/>
                      </wps:bodyPr>
                    </wps:wsp>
                    <pic:pic xmlns:pic="http://schemas.openxmlformats.org/drawingml/2006/picture">
                      <pic:nvPicPr>
                        <pic:cNvPr id="7" name="Picture 7" descr="Vermont Department of Health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4549" y="180753"/>
                          <a:ext cx="1014730" cy="698500"/>
                        </a:xfrm>
                        <a:prstGeom prst="rect">
                          <a:avLst/>
                        </a:prstGeom>
                        <a:ln>
                          <a:noFill/>
                        </a:ln>
                      </pic:spPr>
                    </pic:pic>
                    <wps:wsp>
                      <wps:cNvPr id="8" name="Text Box 2"/>
                      <wps:cNvSpPr txBox="1">
                        <a:spLocks noChangeArrowheads="1"/>
                      </wps:cNvSpPr>
                      <wps:spPr bwMode="auto">
                        <a:xfrm>
                          <a:off x="390526" y="1025490"/>
                          <a:ext cx="6700202" cy="584773"/>
                        </a:xfrm>
                        <a:prstGeom prst="rect">
                          <a:avLst/>
                        </a:prstGeom>
                        <a:noFill/>
                        <a:ln w="9525">
                          <a:noFill/>
                          <a:miter lim="800000"/>
                          <a:headEnd/>
                          <a:tailEnd/>
                        </a:ln>
                      </wps:spPr>
                      <wps:txbx>
                        <w:txbxContent>
                          <w:p w14:paraId="20D914BC" w14:textId="0D325315" w:rsidR="005B5785" w:rsidRPr="0036378F" w:rsidRDefault="00601DCA" w:rsidP="005B5785">
                            <w:pPr>
                              <w:pStyle w:val="MonthandYear"/>
                              <w:spacing w:line="240" w:lineRule="auto"/>
                              <w:rPr>
                                <w:sz w:val="22"/>
                                <w:szCs w:val="22"/>
                              </w:rPr>
                            </w:pPr>
                            <w:r>
                              <w:t xml:space="preserve">  March</w:t>
                            </w:r>
                            <w:r w:rsidR="00A47C72">
                              <w:t xml:space="preserve"> 30</w:t>
                            </w:r>
                            <w:r w:rsidR="005B5785">
                              <w:t>,</w:t>
                            </w:r>
                            <w:r w:rsidR="007D7085">
                              <w:t xml:space="preserve"> </w:t>
                            </w:r>
                            <w:r w:rsidR="005B5785">
                              <w:t>202</w:t>
                            </w:r>
                            <w:r>
                              <w:t>1</w:t>
                            </w:r>
                            <w:r w:rsidR="005B5785">
                              <w:br/>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66651A" id="Group 1" o:spid="_x0000_s1026" style="position:absolute;margin-left:-57.25pt;margin-top:-5.55pt;width:582.45pt;height:126.75pt;z-index:251661312;mso-position-horizontal-relative:margin;mso-width-relative:margin;mso-height-relative:margin" coordsize="73971,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">
              <v:rect id="Rectangle 2" o:spid="_x0000_s1027" style="position:absolute;width:73971;height:10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3095b4 [3205]" stroked="f" strokeweight="1pt"/>
              <v:rect id="Rectangle 3" o:spid="_x0000_s1028" style="position:absolute;top:10521;width:73971;height: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263f6a [3204]" stroked="f" strokeweight="1pt"/>
              <v:shapetype id="_x0000_t202" coordsize="21600,21600" o:spt="202" path="m,l,21600r21600,l21600,xe">
                <v:stroke joinstyle="miter"/>
                <v:path gradientshapeok="t" o:connecttype="rect"/>
              </v:shapetype>
              <v:shape id="Text Box 2" o:spid="_x0000_s1029" type="#_x0000_t202" style="position:absolute;left:16586;top:2095;width:55055;height:7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5E11406D" w14:textId="4F53CECB" w:rsidR="005B5785" w:rsidRPr="005B5785" w:rsidRDefault="005B5785" w:rsidP="005B5785">
                      <w:pPr>
                        <w:pStyle w:val="Title"/>
                        <w:spacing w:line="240" w:lineRule="auto"/>
                        <w:rPr>
                          <w:sz w:val="40"/>
                          <w:szCs w:val="24"/>
                        </w:rPr>
                      </w:pPr>
                      <w:r>
                        <w:t xml:space="preserve">COVID-19 </w:t>
                      </w:r>
                      <w:r w:rsidR="00617F9C">
                        <w:t xml:space="preserve">Guidance for </w:t>
                      </w:r>
                      <w:r w:rsidR="0070409E">
                        <w:t xml:space="preserve">Inpatient </w:t>
                      </w:r>
                      <w:r w:rsidR="00633C1B">
                        <w:t xml:space="preserve">and </w:t>
                      </w:r>
                      <w:r w:rsidR="0070409E">
                        <w:t>Outpatient Procedures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Vermont Department of Health Logo" style="position:absolute;left:2445;top:1807;width:10147;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">
                <v:imagedata r:id="rId2" o:title="Vermont Department of Health Logo"/>
              </v:shape>
              <v:shape id="Text Box 2" o:spid="_x0000_s1031" type="#_x0000_t202" style="position:absolute;left:3905;top:10254;width:67002;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20D914BC" w14:textId="0D325315" w:rsidR="005B5785" w:rsidRPr="0036378F" w:rsidRDefault="00601DCA" w:rsidP="005B5785">
                      <w:pPr>
                        <w:pStyle w:val="MonthandYear"/>
                        <w:spacing w:line="240" w:lineRule="auto"/>
                        <w:rPr>
                          <w:sz w:val="22"/>
                          <w:szCs w:val="22"/>
                        </w:rPr>
                      </w:pPr>
                      <w:r>
                        <w:t xml:space="preserve">  March</w:t>
                      </w:r>
                      <w:r w:rsidR="00A47C72">
                        <w:t xml:space="preserve"> </w:t>
                      </w:r>
                      <w:r w:rsidR="00A47C72">
                        <w:t>30</w:t>
                      </w:r>
                      <w:r w:rsidR="005B5785">
                        <w:t>,</w:t>
                      </w:r>
                      <w:r w:rsidR="007D7085">
                        <w:t xml:space="preserve"> </w:t>
                      </w:r>
                      <w:r w:rsidR="005B5785">
                        <w:t>202</w:t>
                      </w:r>
                      <w:r>
                        <w:t>1</w:t>
                      </w:r>
                      <w:r w:rsidR="005B5785">
                        <w:br/>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330"/>
    <w:multiLevelType w:val="hybridMultilevel"/>
    <w:tmpl w:val="9012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2AF9"/>
    <w:multiLevelType w:val="hybridMultilevel"/>
    <w:tmpl w:val="8E6C5822"/>
    <w:lvl w:ilvl="0" w:tplc="727A31C6">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0EF0"/>
    <w:multiLevelType w:val="hybridMultilevel"/>
    <w:tmpl w:val="6BB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7278"/>
    <w:multiLevelType w:val="hybridMultilevel"/>
    <w:tmpl w:val="58B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168E4"/>
    <w:multiLevelType w:val="hybridMultilevel"/>
    <w:tmpl w:val="3CAC2350"/>
    <w:lvl w:ilvl="0" w:tplc="F64A3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738"/>
    <w:multiLevelType w:val="hybridMultilevel"/>
    <w:tmpl w:val="820C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898"/>
    <w:multiLevelType w:val="hybridMultilevel"/>
    <w:tmpl w:val="5BB8069E"/>
    <w:lvl w:ilvl="0" w:tplc="DAF47C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A1CB7"/>
    <w:multiLevelType w:val="hybridMultilevel"/>
    <w:tmpl w:val="A212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57C12"/>
    <w:multiLevelType w:val="hybridMultilevel"/>
    <w:tmpl w:val="014E6C8E"/>
    <w:lvl w:ilvl="0" w:tplc="DAF47C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460C5"/>
    <w:multiLevelType w:val="hybridMultilevel"/>
    <w:tmpl w:val="7896AF4E"/>
    <w:lvl w:ilvl="0" w:tplc="E4960E12">
      <w:numFmt w:val="bullet"/>
      <w:lvlText w:val=""/>
      <w:lvlJc w:val="left"/>
      <w:pPr>
        <w:ind w:left="821" w:hanging="361"/>
      </w:pPr>
      <w:rPr>
        <w:rFonts w:ascii="Symbol" w:eastAsia="Symbol" w:hAnsi="Symbol" w:cs="Symbol" w:hint="default"/>
        <w:w w:val="100"/>
        <w:position w:val="8"/>
        <w:sz w:val="24"/>
        <w:szCs w:val="24"/>
        <w:lang w:val="en-US" w:eastAsia="en-US" w:bidi="en-US"/>
      </w:rPr>
    </w:lvl>
    <w:lvl w:ilvl="1" w:tplc="1AFC9C6E">
      <w:numFmt w:val="bullet"/>
      <w:lvlText w:val="•"/>
      <w:lvlJc w:val="left"/>
      <w:pPr>
        <w:ind w:left="1696" w:hanging="361"/>
      </w:pPr>
      <w:rPr>
        <w:rFonts w:hint="default"/>
        <w:lang w:val="en-US" w:eastAsia="en-US" w:bidi="en-US"/>
      </w:rPr>
    </w:lvl>
    <w:lvl w:ilvl="2" w:tplc="B2CA5C7E">
      <w:numFmt w:val="bullet"/>
      <w:lvlText w:val="•"/>
      <w:lvlJc w:val="left"/>
      <w:pPr>
        <w:ind w:left="2572" w:hanging="361"/>
      </w:pPr>
      <w:rPr>
        <w:rFonts w:hint="default"/>
        <w:lang w:val="en-US" w:eastAsia="en-US" w:bidi="en-US"/>
      </w:rPr>
    </w:lvl>
    <w:lvl w:ilvl="3" w:tplc="E0665F88">
      <w:numFmt w:val="bullet"/>
      <w:lvlText w:val="•"/>
      <w:lvlJc w:val="left"/>
      <w:pPr>
        <w:ind w:left="3448" w:hanging="361"/>
      </w:pPr>
      <w:rPr>
        <w:rFonts w:hint="default"/>
        <w:lang w:val="en-US" w:eastAsia="en-US" w:bidi="en-US"/>
      </w:rPr>
    </w:lvl>
    <w:lvl w:ilvl="4" w:tplc="5500334C">
      <w:numFmt w:val="bullet"/>
      <w:lvlText w:val="•"/>
      <w:lvlJc w:val="left"/>
      <w:pPr>
        <w:ind w:left="4324" w:hanging="361"/>
      </w:pPr>
      <w:rPr>
        <w:rFonts w:hint="default"/>
        <w:lang w:val="en-US" w:eastAsia="en-US" w:bidi="en-US"/>
      </w:rPr>
    </w:lvl>
    <w:lvl w:ilvl="5" w:tplc="69B6EC48">
      <w:numFmt w:val="bullet"/>
      <w:lvlText w:val="•"/>
      <w:lvlJc w:val="left"/>
      <w:pPr>
        <w:ind w:left="5200" w:hanging="361"/>
      </w:pPr>
      <w:rPr>
        <w:rFonts w:hint="default"/>
        <w:lang w:val="en-US" w:eastAsia="en-US" w:bidi="en-US"/>
      </w:rPr>
    </w:lvl>
    <w:lvl w:ilvl="6" w:tplc="2D569EEA">
      <w:numFmt w:val="bullet"/>
      <w:lvlText w:val="•"/>
      <w:lvlJc w:val="left"/>
      <w:pPr>
        <w:ind w:left="6076" w:hanging="361"/>
      </w:pPr>
      <w:rPr>
        <w:rFonts w:hint="default"/>
        <w:lang w:val="en-US" w:eastAsia="en-US" w:bidi="en-US"/>
      </w:rPr>
    </w:lvl>
    <w:lvl w:ilvl="7" w:tplc="2458AA30">
      <w:numFmt w:val="bullet"/>
      <w:lvlText w:val="•"/>
      <w:lvlJc w:val="left"/>
      <w:pPr>
        <w:ind w:left="6952" w:hanging="361"/>
      </w:pPr>
      <w:rPr>
        <w:rFonts w:hint="default"/>
        <w:lang w:val="en-US" w:eastAsia="en-US" w:bidi="en-US"/>
      </w:rPr>
    </w:lvl>
    <w:lvl w:ilvl="8" w:tplc="9DC0458E">
      <w:numFmt w:val="bullet"/>
      <w:lvlText w:val="•"/>
      <w:lvlJc w:val="left"/>
      <w:pPr>
        <w:ind w:left="7828" w:hanging="361"/>
      </w:pPr>
      <w:rPr>
        <w:rFonts w:hint="default"/>
        <w:lang w:val="en-US" w:eastAsia="en-US" w:bidi="en-US"/>
      </w:rPr>
    </w:lvl>
  </w:abstractNum>
  <w:abstractNum w:abstractNumId="10" w15:restartNumberingAfterBreak="0">
    <w:nsid w:val="28B31A97"/>
    <w:multiLevelType w:val="hybridMultilevel"/>
    <w:tmpl w:val="7BE0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5466C"/>
    <w:multiLevelType w:val="hybridMultilevel"/>
    <w:tmpl w:val="D4C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62B98"/>
    <w:multiLevelType w:val="hybridMultilevel"/>
    <w:tmpl w:val="3704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B1E77"/>
    <w:multiLevelType w:val="hybridMultilevel"/>
    <w:tmpl w:val="E498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639B0"/>
    <w:multiLevelType w:val="hybridMultilevel"/>
    <w:tmpl w:val="96048DAA"/>
    <w:lvl w:ilvl="0" w:tplc="727A3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E26D7"/>
    <w:multiLevelType w:val="hybridMultilevel"/>
    <w:tmpl w:val="A07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97DF6"/>
    <w:multiLevelType w:val="hybridMultilevel"/>
    <w:tmpl w:val="BDA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27FC2"/>
    <w:multiLevelType w:val="hybridMultilevel"/>
    <w:tmpl w:val="043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3D85"/>
    <w:multiLevelType w:val="hybridMultilevel"/>
    <w:tmpl w:val="CC50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D3AF6"/>
    <w:multiLevelType w:val="hybridMultilevel"/>
    <w:tmpl w:val="544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A1D08"/>
    <w:multiLevelType w:val="hybridMultilevel"/>
    <w:tmpl w:val="EBEA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31B27"/>
    <w:multiLevelType w:val="hybridMultilevel"/>
    <w:tmpl w:val="BB58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D7FAC"/>
    <w:multiLevelType w:val="hybridMultilevel"/>
    <w:tmpl w:val="9BE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7682"/>
    <w:multiLevelType w:val="hybridMultilevel"/>
    <w:tmpl w:val="40D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62897"/>
    <w:multiLevelType w:val="hybridMultilevel"/>
    <w:tmpl w:val="2A44E4AC"/>
    <w:lvl w:ilvl="0" w:tplc="E06E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82AE3"/>
    <w:multiLevelType w:val="hybridMultilevel"/>
    <w:tmpl w:val="0646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CA6"/>
    <w:multiLevelType w:val="hybridMultilevel"/>
    <w:tmpl w:val="A13E3E9A"/>
    <w:lvl w:ilvl="0" w:tplc="DAF47C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A4974"/>
    <w:multiLevelType w:val="hybridMultilevel"/>
    <w:tmpl w:val="6C1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83498"/>
    <w:multiLevelType w:val="hybridMultilevel"/>
    <w:tmpl w:val="C700EC4E"/>
    <w:lvl w:ilvl="0" w:tplc="1B84EC3A">
      <w:numFmt w:val="bullet"/>
      <w:lvlText w:val=""/>
      <w:lvlJc w:val="left"/>
      <w:pPr>
        <w:ind w:left="821" w:hanging="361"/>
      </w:pPr>
      <w:rPr>
        <w:rFonts w:ascii="Symbol" w:eastAsia="Symbol" w:hAnsi="Symbol" w:cs="Symbol" w:hint="default"/>
        <w:w w:val="100"/>
        <w:position w:val="9"/>
        <w:sz w:val="24"/>
        <w:szCs w:val="24"/>
        <w:lang w:val="en-US" w:eastAsia="en-US" w:bidi="en-US"/>
      </w:rPr>
    </w:lvl>
    <w:lvl w:ilvl="1" w:tplc="FE300178">
      <w:numFmt w:val="bullet"/>
      <w:lvlText w:val="•"/>
      <w:lvlJc w:val="left"/>
      <w:pPr>
        <w:ind w:left="1694" w:hanging="361"/>
      </w:pPr>
      <w:rPr>
        <w:rFonts w:hint="default"/>
        <w:lang w:val="en-US" w:eastAsia="en-US" w:bidi="en-US"/>
      </w:rPr>
    </w:lvl>
    <w:lvl w:ilvl="2" w:tplc="C890BACE">
      <w:numFmt w:val="bullet"/>
      <w:lvlText w:val="•"/>
      <w:lvlJc w:val="left"/>
      <w:pPr>
        <w:ind w:left="2568" w:hanging="361"/>
      </w:pPr>
      <w:rPr>
        <w:rFonts w:hint="default"/>
        <w:lang w:val="en-US" w:eastAsia="en-US" w:bidi="en-US"/>
      </w:rPr>
    </w:lvl>
    <w:lvl w:ilvl="3" w:tplc="F67CBC7A">
      <w:numFmt w:val="bullet"/>
      <w:lvlText w:val="•"/>
      <w:lvlJc w:val="left"/>
      <w:pPr>
        <w:ind w:left="3442" w:hanging="361"/>
      </w:pPr>
      <w:rPr>
        <w:rFonts w:hint="default"/>
        <w:lang w:val="en-US" w:eastAsia="en-US" w:bidi="en-US"/>
      </w:rPr>
    </w:lvl>
    <w:lvl w:ilvl="4" w:tplc="312A8688">
      <w:numFmt w:val="bullet"/>
      <w:lvlText w:val="•"/>
      <w:lvlJc w:val="left"/>
      <w:pPr>
        <w:ind w:left="4316" w:hanging="361"/>
      </w:pPr>
      <w:rPr>
        <w:rFonts w:hint="default"/>
        <w:lang w:val="en-US" w:eastAsia="en-US" w:bidi="en-US"/>
      </w:rPr>
    </w:lvl>
    <w:lvl w:ilvl="5" w:tplc="6E88E664">
      <w:numFmt w:val="bullet"/>
      <w:lvlText w:val="•"/>
      <w:lvlJc w:val="left"/>
      <w:pPr>
        <w:ind w:left="5190" w:hanging="361"/>
      </w:pPr>
      <w:rPr>
        <w:rFonts w:hint="default"/>
        <w:lang w:val="en-US" w:eastAsia="en-US" w:bidi="en-US"/>
      </w:rPr>
    </w:lvl>
    <w:lvl w:ilvl="6" w:tplc="066487F6">
      <w:numFmt w:val="bullet"/>
      <w:lvlText w:val="•"/>
      <w:lvlJc w:val="left"/>
      <w:pPr>
        <w:ind w:left="6064" w:hanging="361"/>
      </w:pPr>
      <w:rPr>
        <w:rFonts w:hint="default"/>
        <w:lang w:val="en-US" w:eastAsia="en-US" w:bidi="en-US"/>
      </w:rPr>
    </w:lvl>
    <w:lvl w:ilvl="7" w:tplc="53148DB2">
      <w:numFmt w:val="bullet"/>
      <w:lvlText w:val="•"/>
      <w:lvlJc w:val="left"/>
      <w:pPr>
        <w:ind w:left="6938" w:hanging="361"/>
      </w:pPr>
      <w:rPr>
        <w:rFonts w:hint="default"/>
        <w:lang w:val="en-US" w:eastAsia="en-US" w:bidi="en-US"/>
      </w:rPr>
    </w:lvl>
    <w:lvl w:ilvl="8" w:tplc="7158B672">
      <w:numFmt w:val="bullet"/>
      <w:lvlText w:val="•"/>
      <w:lvlJc w:val="left"/>
      <w:pPr>
        <w:ind w:left="7812" w:hanging="361"/>
      </w:pPr>
      <w:rPr>
        <w:rFonts w:hint="default"/>
        <w:lang w:val="en-US" w:eastAsia="en-US" w:bidi="en-US"/>
      </w:rPr>
    </w:lvl>
  </w:abstractNum>
  <w:abstractNum w:abstractNumId="29" w15:restartNumberingAfterBreak="0">
    <w:nsid w:val="715C15CE"/>
    <w:multiLevelType w:val="hybridMultilevel"/>
    <w:tmpl w:val="7B001118"/>
    <w:lvl w:ilvl="0" w:tplc="DAF47C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825897"/>
    <w:multiLevelType w:val="hybridMultilevel"/>
    <w:tmpl w:val="B14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7294D"/>
    <w:multiLevelType w:val="hybridMultilevel"/>
    <w:tmpl w:val="36B8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318AD"/>
    <w:multiLevelType w:val="hybridMultilevel"/>
    <w:tmpl w:val="B8AC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CA2232"/>
    <w:multiLevelType w:val="hybridMultilevel"/>
    <w:tmpl w:val="44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D199D"/>
    <w:multiLevelType w:val="hybridMultilevel"/>
    <w:tmpl w:val="AA1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D1173"/>
    <w:multiLevelType w:val="hybridMultilevel"/>
    <w:tmpl w:val="237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A5C46"/>
    <w:multiLevelType w:val="hybridMultilevel"/>
    <w:tmpl w:val="7AC6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13"/>
  </w:num>
  <w:num w:numId="4">
    <w:abstractNumId w:val="34"/>
  </w:num>
  <w:num w:numId="5">
    <w:abstractNumId w:val="0"/>
  </w:num>
  <w:num w:numId="6">
    <w:abstractNumId w:val="5"/>
  </w:num>
  <w:num w:numId="7">
    <w:abstractNumId w:val="31"/>
  </w:num>
  <w:num w:numId="8">
    <w:abstractNumId w:val="30"/>
  </w:num>
  <w:num w:numId="9">
    <w:abstractNumId w:val="20"/>
  </w:num>
  <w:num w:numId="10">
    <w:abstractNumId w:val="21"/>
  </w:num>
  <w:num w:numId="11">
    <w:abstractNumId w:val="23"/>
  </w:num>
  <w:num w:numId="12">
    <w:abstractNumId w:val="2"/>
  </w:num>
  <w:num w:numId="13">
    <w:abstractNumId w:val="16"/>
  </w:num>
  <w:num w:numId="14">
    <w:abstractNumId w:val="27"/>
  </w:num>
  <w:num w:numId="15">
    <w:abstractNumId w:val="11"/>
  </w:num>
  <w:num w:numId="16">
    <w:abstractNumId w:val="35"/>
  </w:num>
  <w:num w:numId="17">
    <w:abstractNumId w:val="16"/>
  </w:num>
  <w:num w:numId="18">
    <w:abstractNumId w:val="32"/>
  </w:num>
  <w:num w:numId="19">
    <w:abstractNumId w:val="28"/>
  </w:num>
  <w:num w:numId="20">
    <w:abstractNumId w:val="9"/>
  </w:num>
  <w:num w:numId="21">
    <w:abstractNumId w:val="29"/>
  </w:num>
  <w:num w:numId="22">
    <w:abstractNumId w:val="26"/>
  </w:num>
  <w:num w:numId="23">
    <w:abstractNumId w:val="8"/>
  </w:num>
  <w:num w:numId="24">
    <w:abstractNumId w:val="6"/>
  </w:num>
  <w:num w:numId="25">
    <w:abstractNumId w:val="12"/>
  </w:num>
  <w:num w:numId="26">
    <w:abstractNumId w:val="4"/>
  </w:num>
  <w:num w:numId="27">
    <w:abstractNumId w:val="18"/>
  </w:num>
  <w:num w:numId="28">
    <w:abstractNumId w:val="10"/>
  </w:num>
  <w:num w:numId="29">
    <w:abstractNumId w:val="24"/>
  </w:num>
  <w:num w:numId="30">
    <w:abstractNumId w:val="25"/>
  </w:num>
  <w:num w:numId="31">
    <w:abstractNumId w:val="17"/>
  </w:num>
  <w:num w:numId="32">
    <w:abstractNumId w:val="3"/>
  </w:num>
  <w:num w:numId="33">
    <w:abstractNumId w:val="19"/>
  </w:num>
  <w:num w:numId="34">
    <w:abstractNumId w:val="33"/>
  </w:num>
  <w:num w:numId="35">
    <w:abstractNumId w:val="22"/>
  </w:num>
  <w:num w:numId="36">
    <w:abstractNumId w:val="15"/>
  </w:num>
  <w:num w:numId="37">
    <w:abstractNumId w:val="14"/>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E2"/>
    <w:rsid w:val="000077DE"/>
    <w:rsid w:val="0001103F"/>
    <w:rsid w:val="00034EF9"/>
    <w:rsid w:val="00070B77"/>
    <w:rsid w:val="000757D3"/>
    <w:rsid w:val="00082EC2"/>
    <w:rsid w:val="00095622"/>
    <w:rsid w:val="000976D9"/>
    <w:rsid w:val="000A45FE"/>
    <w:rsid w:val="000A5484"/>
    <w:rsid w:val="000B2E97"/>
    <w:rsid w:val="000E5BE8"/>
    <w:rsid w:val="000E7F9B"/>
    <w:rsid w:val="00103B04"/>
    <w:rsid w:val="001050F0"/>
    <w:rsid w:val="001212F2"/>
    <w:rsid w:val="00125157"/>
    <w:rsid w:val="00135BB4"/>
    <w:rsid w:val="00137E54"/>
    <w:rsid w:val="00154224"/>
    <w:rsid w:val="00162D94"/>
    <w:rsid w:val="001654E6"/>
    <w:rsid w:val="00175EDC"/>
    <w:rsid w:val="0017791E"/>
    <w:rsid w:val="001C7386"/>
    <w:rsid w:val="001D6615"/>
    <w:rsid w:val="001D7136"/>
    <w:rsid w:val="002128AE"/>
    <w:rsid w:val="002255F2"/>
    <w:rsid w:val="00226202"/>
    <w:rsid w:val="002312A2"/>
    <w:rsid w:val="00256470"/>
    <w:rsid w:val="002621FB"/>
    <w:rsid w:val="00262537"/>
    <w:rsid w:val="00276A7E"/>
    <w:rsid w:val="002877C2"/>
    <w:rsid w:val="00293569"/>
    <w:rsid w:val="00295281"/>
    <w:rsid w:val="002A0B1C"/>
    <w:rsid w:val="002A7763"/>
    <w:rsid w:val="002C27E8"/>
    <w:rsid w:val="002E1A1E"/>
    <w:rsid w:val="002F4DF3"/>
    <w:rsid w:val="002F7C05"/>
    <w:rsid w:val="002F7CD7"/>
    <w:rsid w:val="00312583"/>
    <w:rsid w:val="00321882"/>
    <w:rsid w:val="00336F7F"/>
    <w:rsid w:val="0034075C"/>
    <w:rsid w:val="0035402D"/>
    <w:rsid w:val="0036378F"/>
    <w:rsid w:val="003728A0"/>
    <w:rsid w:val="003825C3"/>
    <w:rsid w:val="0039283E"/>
    <w:rsid w:val="003964CA"/>
    <w:rsid w:val="003A427A"/>
    <w:rsid w:val="003B48EC"/>
    <w:rsid w:val="003E3EBB"/>
    <w:rsid w:val="003E5E13"/>
    <w:rsid w:val="003E6829"/>
    <w:rsid w:val="003F1CDD"/>
    <w:rsid w:val="003F5311"/>
    <w:rsid w:val="00410B71"/>
    <w:rsid w:val="004174AD"/>
    <w:rsid w:val="004318B9"/>
    <w:rsid w:val="004472E8"/>
    <w:rsid w:val="00454AEA"/>
    <w:rsid w:val="00457015"/>
    <w:rsid w:val="004603D1"/>
    <w:rsid w:val="004617BA"/>
    <w:rsid w:val="004675F9"/>
    <w:rsid w:val="00474E15"/>
    <w:rsid w:val="00475934"/>
    <w:rsid w:val="0048156E"/>
    <w:rsid w:val="0048169E"/>
    <w:rsid w:val="00483FAE"/>
    <w:rsid w:val="00491032"/>
    <w:rsid w:val="00495442"/>
    <w:rsid w:val="00497A38"/>
    <w:rsid w:val="004C2965"/>
    <w:rsid w:val="004C5A23"/>
    <w:rsid w:val="004D6874"/>
    <w:rsid w:val="004E4E0B"/>
    <w:rsid w:val="004F6F3A"/>
    <w:rsid w:val="00544445"/>
    <w:rsid w:val="00557761"/>
    <w:rsid w:val="00592CC6"/>
    <w:rsid w:val="005A0981"/>
    <w:rsid w:val="005A6CBC"/>
    <w:rsid w:val="005A701E"/>
    <w:rsid w:val="005A79E5"/>
    <w:rsid w:val="005B1489"/>
    <w:rsid w:val="005B5785"/>
    <w:rsid w:val="005C64BC"/>
    <w:rsid w:val="005D4DCF"/>
    <w:rsid w:val="005E0AF7"/>
    <w:rsid w:val="005E5AB4"/>
    <w:rsid w:val="005F1142"/>
    <w:rsid w:val="00601DCA"/>
    <w:rsid w:val="006036EC"/>
    <w:rsid w:val="006038C1"/>
    <w:rsid w:val="00606189"/>
    <w:rsid w:val="00613A93"/>
    <w:rsid w:val="00617F9C"/>
    <w:rsid w:val="006276FD"/>
    <w:rsid w:val="0063269A"/>
    <w:rsid w:val="00633C1B"/>
    <w:rsid w:val="006404AB"/>
    <w:rsid w:val="00643E36"/>
    <w:rsid w:val="00650668"/>
    <w:rsid w:val="00662B37"/>
    <w:rsid w:val="00663532"/>
    <w:rsid w:val="006641DE"/>
    <w:rsid w:val="00664A4F"/>
    <w:rsid w:val="00667B76"/>
    <w:rsid w:val="00680856"/>
    <w:rsid w:val="0069010D"/>
    <w:rsid w:val="006A1E63"/>
    <w:rsid w:val="006A3EEB"/>
    <w:rsid w:val="006C7A26"/>
    <w:rsid w:val="006D13E9"/>
    <w:rsid w:val="006D4BC8"/>
    <w:rsid w:val="006D5363"/>
    <w:rsid w:val="006E7AC6"/>
    <w:rsid w:val="006F19C0"/>
    <w:rsid w:val="006F4C6A"/>
    <w:rsid w:val="006F5DBD"/>
    <w:rsid w:val="0070409E"/>
    <w:rsid w:val="0070689D"/>
    <w:rsid w:val="00717A3C"/>
    <w:rsid w:val="007223FB"/>
    <w:rsid w:val="007248AC"/>
    <w:rsid w:val="00726EFC"/>
    <w:rsid w:val="00727EDE"/>
    <w:rsid w:val="0073124A"/>
    <w:rsid w:val="00740419"/>
    <w:rsid w:val="00747B42"/>
    <w:rsid w:val="00751D5B"/>
    <w:rsid w:val="007566A0"/>
    <w:rsid w:val="00757D69"/>
    <w:rsid w:val="00771CBA"/>
    <w:rsid w:val="00781793"/>
    <w:rsid w:val="00781EB1"/>
    <w:rsid w:val="00796D30"/>
    <w:rsid w:val="007C3310"/>
    <w:rsid w:val="007D0C66"/>
    <w:rsid w:val="007D3324"/>
    <w:rsid w:val="007D7085"/>
    <w:rsid w:val="007F2701"/>
    <w:rsid w:val="00802536"/>
    <w:rsid w:val="00803CDF"/>
    <w:rsid w:val="0081322F"/>
    <w:rsid w:val="008310C9"/>
    <w:rsid w:val="0084219E"/>
    <w:rsid w:val="00846C9E"/>
    <w:rsid w:val="00876C17"/>
    <w:rsid w:val="008855AC"/>
    <w:rsid w:val="00894BCE"/>
    <w:rsid w:val="008C281F"/>
    <w:rsid w:val="008D14F4"/>
    <w:rsid w:val="008E189F"/>
    <w:rsid w:val="008E7549"/>
    <w:rsid w:val="008F06C2"/>
    <w:rsid w:val="009235BD"/>
    <w:rsid w:val="00925EAB"/>
    <w:rsid w:val="00931806"/>
    <w:rsid w:val="00947138"/>
    <w:rsid w:val="00952F20"/>
    <w:rsid w:val="0095624C"/>
    <w:rsid w:val="009629E2"/>
    <w:rsid w:val="00963E34"/>
    <w:rsid w:val="009813E2"/>
    <w:rsid w:val="009841A8"/>
    <w:rsid w:val="009B59E0"/>
    <w:rsid w:val="009C1F63"/>
    <w:rsid w:val="009E6362"/>
    <w:rsid w:val="009F1414"/>
    <w:rsid w:val="009F4434"/>
    <w:rsid w:val="009F4EA6"/>
    <w:rsid w:val="00A1369A"/>
    <w:rsid w:val="00A279FE"/>
    <w:rsid w:val="00A449B2"/>
    <w:rsid w:val="00A47C72"/>
    <w:rsid w:val="00A50573"/>
    <w:rsid w:val="00A5633E"/>
    <w:rsid w:val="00A65A63"/>
    <w:rsid w:val="00A702B8"/>
    <w:rsid w:val="00A8761E"/>
    <w:rsid w:val="00A94689"/>
    <w:rsid w:val="00A956A2"/>
    <w:rsid w:val="00AA6072"/>
    <w:rsid w:val="00AB4EAA"/>
    <w:rsid w:val="00AC3C56"/>
    <w:rsid w:val="00AD4AF4"/>
    <w:rsid w:val="00AE5E63"/>
    <w:rsid w:val="00B16242"/>
    <w:rsid w:val="00B40C8B"/>
    <w:rsid w:val="00B53C55"/>
    <w:rsid w:val="00B62467"/>
    <w:rsid w:val="00B67E3B"/>
    <w:rsid w:val="00B704D6"/>
    <w:rsid w:val="00B80CDF"/>
    <w:rsid w:val="00B8120A"/>
    <w:rsid w:val="00B97113"/>
    <w:rsid w:val="00BA2323"/>
    <w:rsid w:val="00BB5AF7"/>
    <w:rsid w:val="00BC2526"/>
    <w:rsid w:val="00BE6A0D"/>
    <w:rsid w:val="00C01CF1"/>
    <w:rsid w:val="00C02B1E"/>
    <w:rsid w:val="00C07D49"/>
    <w:rsid w:val="00C24152"/>
    <w:rsid w:val="00C246C2"/>
    <w:rsid w:val="00C25250"/>
    <w:rsid w:val="00C26244"/>
    <w:rsid w:val="00C424E4"/>
    <w:rsid w:val="00C51FFC"/>
    <w:rsid w:val="00C572AD"/>
    <w:rsid w:val="00C61258"/>
    <w:rsid w:val="00C640BA"/>
    <w:rsid w:val="00C642AC"/>
    <w:rsid w:val="00C71CF3"/>
    <w:rsid w:val="00C84B2D"/>
    <w:rsid w:val="00C9099E"/>
    <w:rsid w:val="00C90DD5"/>
    <w:rsid w:val="00CA76C5"/>
    <w:rsid w:val="00CB1153"/>
    <w:rsid w:val="00CC072B"/>
    <w:rsid w:val="00CC62DB"/>
    <w:rsid w:val="00CD2A51"/>
    <w:rsid w:val="00CE039F"/>
    <w:rsid w:val="00CE310A"/>
    <w:rsid w:val="00CE6D82"/>
    <w:rsid w:val="00CF731A"/>
    <w:rsid w:val="00D14D3B"/>
    <w:rsid w:val="00D80190"/>
    <w:rsid w:val="00DB0819"/>
    <w:rsid w:val="00DB3753"/>
    <w:rsid w:val="00DC0C77"/>
    <w:rsid w:val="00DC4D60"/>
    <w:rsid w:val="00DE22DD"/>
    <w:rsid w:val="00DE3D33"/>
    <w:rsid w:val="00DE7951"/>
    <w:rsid w:val="00DF759C"/>
    <w:rsid w:val="00E013E2"/>
    <w:rsid w:val="00E06C74"/>
    <w:rsid w:val="00E140B4"/>
    <w:rsid w:val="00E35390"/>
    <w:rsid w:val="00E37800"/>
    <w:rsid w:val="00E51B93"/>
    <w:rsid w:val="00E745C6"/>
    <w:rsid w:val="00E91E8E"/>
    <w:rsid w:val="00E921D8"/>
    <w:rsid w:val="00EA3CAA"/>
    <w:rsid w:val="00EC1BCB"/>
    <w:rsid w:val="00EC2AA9"/>
    <w:rsid w:val="00EC34C8"/>
    <w:rsid w:val="00EF280A"/>
    <w:rsid w:val="00EF7CDF"/>
    <w:rsid w:val="00F047BC"/>
    <w:rsid w:val="00F21C83"/>
    <w:rsid w:val="00F30C39"/>
    <w:rsid w:val="00F5641F"/>
    <w:rsid w:val="00F74725"/>
    <w:rsid w:val="00F77A49"/>
    <w:rsid w:val="00F80C2D"/>
    <w:rsid w:val="00F8444A"/>
    <w:rsid w:val="00F9372E"/>
    <w:rsid w:val="00F93A6A"/>
    <w:rsid w:val="00FA6208"/>
    <w:rsid w:val="00FC4862"/>
    <w:rsid w:val="00FE2AF1"/>
    <w:rsid w:val="00FF0F51"/>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64C44"/>
  <w15:chartTrackingRefBased/>
  <w15:docId w15:val="{EF8789A1-5995-435E-A610-0175172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34"/>
    <w:pPr>
      <w:spacing w:after="0" w:line="240" w:lineRule="auto"/>
    </w:pPr>
    <w:rPr>
      <w:rFonts w:ascii="Franklin Gothic Book" w:hAnsi="Franklin Gothic Book" w:cs="Calibri"/>
      <w:sz w:val="24"/>
    </w:rPr>
  </w:style>
  <w:style w:type="paragraph" w:styleId="Heading1">
    <w:name w:val="heading 1"/>
    <w:basedOn w:val="Normal"/>
    <w:next w:val="Normal"/>
    <w:link w:val="Heading1Char"/>
    <w:uiPriority w:val="9"/>
    <w:qFormat/>
    <w:rsid w:val="005B5785"/>
    <w:pPr>
      <w:keepNext/>
      <w:keepLines/>
      <w:spacing w:before="240"/>
      <w:outlineLvl w:val="0"/>
    </w:pPr>
    <w:rPr>
      <w:rFonts w:asciiTheme="majorHAnsi" w:eastAsiaTheme="majorEastAsia" w:hAnsiTheme="majorHAnsi" w:cstheme="majorBidi"/>
      <w:color w:val="1C2E4F" w:themeColor="accent1" w:themeShade="BF"/>
      <w:sz w:val="32"/>
      <w:szCs w:val="32"/>
    </w:rPr>
  </w:style>
  <w:style w:type="paragraph" w:styleId="Heading2">
    <w:name w:val="heading 2"/>
    <w:basedOn w:val="Normal"/>
    <w:next w:val="Normal"/>
    <w:link w:val="Heading2Char"/>
    <w:uiPriority w:val="9"/>
    <w:semiHidden/>
    <w:unhideWhenUsed/>
    <w:qFormat/>
    <w:rsid w:val="005B5785"/>
    <w:pPr>
      <w:keepNext/>
      <w:keepLines/>
      <w:spacing w:before="40"/>
      <w:outlineLvl w:val="1"/>
    </w:pPr>
    <w:rPr>
      <w:rFonts w:asciiTheme="majorHAnsi" w:eastAsiaTheme="majorEastAsia" w:hAnsiTheme="majorHAnsi" w:cstheme="majorBidi"/>
      <w:color w:val="1C2E4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3E2"/>
    <w:rPr>
      <w:color w:val="0563C1"/>
      <w:u w:val="single"/>
    </w:rPr>
  </w:style>
  <w:style w:type="paragraph" w:styleId="ListParagraph">
    <w:name w:val="List Paragraph"/>
    <w:basedOn w:val="Normal"/>
    <w:uiPriority w:val="34"/>
    <w:qFormat/>
    <w:rsid w:val="009813E2"/>
    <w:pPr>
      <w:ind w:left="720"/>
    </w:pPr>
  </w:style>
  <w:style w:type="paragraph" w:customStyle="1" w:styleId="Default">
    <w:name w:val="Default"/>
    <w:basedOn w:val="Normal"/>
    <w:rsid w:val="009813E2"/>
    <w:pPr>
      <w:autoSpaceDE w:val="0"/>
      <w:autoSpaceDN w:val="0"/>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9813E2"/>
    <w:rPr>
      <w:sz w:val="16"/>
      <w:szCs w:val="16"/>
    </w:rPr>
  </w:style>
  <w:style w:type="paragraph" w:styleId="CommentText">
    <w:name w:val="annotation text"/>
    <w:basedOn w:val="Normal"/>
    <w:link w:val="CommentTextChar"/>
    <w:uiPriority w:val="99"/>
    <w:semiHidden/>
    <w:unhideWhenUsed/>
    <w:rsid w:val="009813E2"/>
    <w:rPr>
      <w:sz w:val="20"/>
      <w:szCs w:val="20"/>
    </w:rPr>
  </w:style>
  <w:style w:type="character" w:customStyle="1" w:styleId="CommentTextChar">
    <w:name w:val="Comment Text Char"/>
    <w:basedOn w:val="DefaultParagraphFont"/>
    <w:link w:val="CommentText"/>
    <w:uiPriority w:val="99"/>
    <w:semiHidden/>
    <w:rsid w:val="009813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13E2"/>
    <w:rPr>
      <w:b/>
      <w:bCs/>
    </w:rPr>
  </w:style>
  <w:style w:type="character" w:customStyle="1" w:styleId="CommentSubjectChar">
    <w:name w:val="Comment Subject Char"/>
    <w:basedOn w:val="CommentTextChar"/>
    <w:link w:val="CommentSubject"/>
    <w:uiPriority w:val="99"/>
    <w:semiHidden/>
    <w:rsid w:val="009813E2"/>
    <w:rPr>
      <w:rFonts w:ascii="Calibri" w:hAnsi="Calibri" w:cs="Calibri"/>
      <w:b/>
      <w:bCs/>
      <w:sz w:val="20"/>
      <w:szCs w:val="20"/>
    </w:rPr>
  </w:style>
  <w:style w:type="paragraph" w:styleId="BalloonText">
    <w:name w:val="Balloon Text"/>
    <w:basedOn w:val="Normal"/>
    <w:link w:val="BalloonTextChar"/>
    <w:uiPriority w:val="99"/>
    <w:semiHidden/>
    <w:unhideWhenUsed/>
    <w:rsid w:val="0098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E2"/>
    <w:rPr>
      <w:rFonts w:ascii="Segoe UI" w:hAnsi="Segoe UI" w:cs="Segoe UI"/>
      <w:sz w:val="18"/>
      <w:szCs w:val="18"/>
    </w:rPr>
  </w:style>
  <w:style w:type="paragraph" w:styleId="Header">
    <w:name w:val="header"/>
    <w:basedOn w:val="Normal"/>
    <w:link w:val="HeaderChar"/>
    <w:uiPriority w:val="99"/>
    <w:unhideWhenUsed/>
    <w:rsid w:val="005B5785"/>
    <w:pPr>
      <w:tabs>
        <w:tab w:val="center" w:pos="4680"/>
        <w:tab w:val="right" w:pos="9360"/>
      </w:tabs>
    </w:pPr>
  </w:style>
  <w:style w:type="character" w:customStyle="1" w:styleId="HeaderChar">
    <w:name w:val="Header Char"/>
    <w:basedOn w:val="DefaultParagraphFont"/>
    <w:link w:val="Header"/>
    <w:uiPriority w:val="99"/>
    <w:rsid w:val="005B5785"/>
    <w:rPr>
      <w:rFonts w:ascii="Calibri" w:hAnsi="Calibri" w:cs="Calibri"/>
    </w:rPr>
  </w:style>
  <w:style w:type="paragraph" w:styleId="Footer">
    <w:name w:val="footer"/>
    <w:basedOn w:val="Normal"/>
    <w:link w:val="FooterChar"/>
    <w:uiPriority w:val="99"/>
    <w:unhideWhenUsed/>
    <w:rsid w:val="005B5785"/>
    <w:pPr>
      <w:tabs>
        <w:tab w:val="center" w:pos="4680"/>
        <w:tab w:val="right" w:pos="9360"/>
      </w:tabs>
    </w:pPr>
  </w:style>
  <w:style w:type="character" w:customStyle="1" w:styleId="FooterChar">
    <w:name w:val="Footer Char"/>
    <w:basedOn w:val="DefaultParagraphFont"/>
    <w:link w:val="Footer"/>
    <w:uiPriority w:val="99"/>
    <w:rsid w:val="005B5785"/>
    <w:rPr>
      <w:rFonts w:ascii="Calibri" w:hAnsi="Calibri" w:cs="Calibri"/>
    </w:rPr>
  </w:style>
  <w:style w:type="paragraph" w:styleId="Title">
    <w:name w:val="Title"/>
    <w:basedOn w:val="Heading1"/>
    <w:next w:val="Normal"/>
    <w:link w:val="TitleChar"/>
    <w:uiPriority w:val="10"/>
    <w:qFormat/>
    <w:rsid w:val="005B5785"/>
    <w:pPr>
      <w:keepNext w:val="0"/>
      <w:keepLines w:val="0"/>
      <w:spacing w:before="0" w:after="120" w:line="259" w:lineRule="auto"/>
    </w:pPr>
    <w:rPr>
      <w:rFonts w:ascii="Franklin Gothic Demi Cond" w:eastAsiaTheme="minorHAnsi" w:hAnsi="Franklin Gothic Demi Cond" w:cstheme="minorBidi"/>
      <w:color w:val="FFFFFF" w:themeColor="background1"/>
      <w:sz w:val="48"/>
    </w:rPr>
  </w:style>
  <w:style w:type="character" w:customStyle="1" w:styleId="TitleChar">
    <w:name w:val="Title Char"/>
    <w:basedOn w:val="DefaultParagraphFont"/>
    <w:link w:val="Title"/>
    <w:uiPriority w:val="10"/>
    <w:rsid w:val="005B5785"/>
    <w:rPr>
      <w:rFonts w:ascii="Franklin Gothic Demi Cond" w:hAnsi="Franklin Gothic Demi Cond"/>
      <w:color w:val="FFFFFF" w:themeColor="background1"/>
      <w:sz w:val="48"/>
      <w:szCs w:val="32"/>
    </w:rPr>
  </w:style>
  <w:style w:type="paragraph" w:customStyle="1" w:styleId="MonthandYear">
    <w:name w:val="Month and Year"/>
    <w:basedOn w:val="Heading2"/>
    <w:link w:val="MonthandYearChar"/>
    <w:qFormat/>
    <w:rsid w:val="005B5785"/>
    <w:pPr>
      <w:keepNext w:val="0"/>
      <w:keepLines w:val="0"/>
      <w:spacing w:before="0" w:after="120" w:line="259" w:lineRule="auto"/>
      <w:jc w:val="right"/>
    </w:pPr>
    <w:rPr>
      <w:rFonts w:ascii="Franklin Gothic Demi Cond" w:hAnsi="Franklin Gothic Demi Cond"/>
      <w:color w:val="FFFFFF" w:themeColor="background1"/>
      <w:sz w:val="32"/>
      <w:szCs w:val="32"/>
    </w:rPr>
  </w:style>
  <w:style w:type="character" w:customStyle="1" w:styleId="MonthandYearChar">
    <w:name w:val="Month and Year Char"/>
    <w:basedOn w:val="Heading2Char"/>
    <w:link w:val="MonthandYear"/>
    <w:rsid w:val="005B5785"/>
    <w:rPr>
      <w:rFonts w:ascii="Franklin Gothic Demi Cond" w:eastAsiaTheme="majorEastAsia" w:hAnsi="Franklin Gothic Demi Cond" w:cstheme="majorBidi"/>
      <w:color w:val="FFFFFF" w:themeColor="background1"/>
      <w:sz w:val="32"/>
      <w:szCs w:val="32"/>
    </w:rPr>
  </w:style>
  <w:style w:type="character" w:customStyle="1" w:styleId="Heading1Char">
    <w:name w:val="Heading 1 Char"/>
    <w:basedOn w:val="DefaultParagraphFont"/>
    <w:link w:val="Heading1"/>
    <w:uiPriority w:val="9"/>
    <w:rsid w:val="005B5785"/>
    <w:rPr>
      <w:rFonts w:asciiTheme="majorHAnsi" w:eastAsiaTheme="majorEastAsia" w:hAnsiTheme="majorHAnsi" w:cstheme="majorBidi"/>
      <w:color w:val="1C2E4F" w:themeColor="accent1" w:themeShade="BF"/>
      <w:sz w:val="32"/>
      <w:szCs w:val="32"/>
    </w:rPr>
  </w:style>
  <w:style w:type="character" w:customStyle="1" w:styleId="Heading2Char">
    <w:name w:val="Heading 2 Char"/>
    <w:basedOn w:val="DefaultParagraphFont"/>
    <w:link w:val="Heading2"/>
    <w:uiPriority w:val="9"/>
    <w:semiHidden/>
    <w:rsid w:val="005B5785"/>
    <w:rPr>
      <w:rFonts w:asciiTheme="majorHAnsi" w:eastAsiaTheme="majorEastAsia" w:hAnsiTheme="majorHAnsi" w:cstheme="majorBidi"/>
      <w:color w:val="1C2E4F" w:themeColor="accent1" w:themeShade="BF"/>
      <w:sz w:val="26"/>
      <w:szCs w:val="26"/>
    </w:rPr>
  </w:style>
  <w:style w:type="character" w:styleId="UnresolvedMention">
    <w:name w:val="Unresolved Mention"/>
    <w:basedOn w:val="DefaultParagraphFont"/>
    <w:uiPriority w:val="99"/>
    <w:semiHidden/>
    <w:unhideWhenUsed/>
    <w:rsid w:val="00162D94"/>
    <w:rPr>
      <w:color w:val="605E5C"/>
      <w:shd w:val="clear" w:color="auto" w:fill="E1DFDD"/>
    </w:rPr>
  </w:style>
  <w:style w:type="character" w:styleId="FollowedHyperlink">
    <w:name w:val="FollowedHyperlink"/>
    <w:basedOn w:val="DefaultParagraphFont"/>
    <w:uiPriority w:val="99"/>
    <w:semiHidden/>
    <w:unhideWhenUsed/>
    <w:rsid w:val="00276A7E"/>
    <w:rPr>
      <w:color w:val="954F72" w:themeColor="followedHyperlink"/>
      <w:u w:val="single"/>
    </w:rPr>
  </w:style>
  <w:style w:type="paragraph" w:styleId="BodyText">
    <w:name w:val="Body Text"/>
    <w:basedOn w:val="Normal"/>
    <w:link w:val="BodyTextChar"/>
    <w:uiPriority w:val="1"/>
    <w:qFormat/>
    <w:rsid w:val="00617F9C"/>
    <w:pPr>
      <w:widowControl w:val="0"/>
      <w:autoSpaceDE w:val="0"/>
      <w:autoSpaceDN w:val="0"/>
    </w:pPr>
    <w:rPr>
      <w:rFonts w:ascii="Calibri" w:eastAsia="Calibri" w:hAnsi="Calibri"/>
      <w:szCs w:val="24"/>
      <w:lang w:bidi="en-US"/>
    </w:rPr>
  </w:style>
  <w:style w:type="character" w:customStyle="1" w:styleId="BodyTextChar">
    <w:name w:val="Body Text Char"/>
    <w:basedOn w:val="DefaultParagraphFont"/>
    <w:link w:val="BodyText"/>
    <w:uiPriority w:val="1"/>
    <w:rsid w:val="00617F9C"/>
    <w:rPr>
      <w:rFonts w:ascii="Calibri" w:eastAsia="Calibri" w:hAnsi="Calibri" w:cs="Calibri"/>
      <w:sz w:val="24"/>
      <w:szCs w:val="24"/>
      <w:lang w:bidi="en-US"/>
    </w:rPr>
  </w:style>
  <w:style w:type="paragraph" w:styleId="Revision">
    <w:name w:val="Revision"/>
    <w:hidden/>
    <w:uiPriority w:val="99"/>
    <w:semiHidden/>
    <w:rsid w:val="006A1E63"/>
    <w:pPr>
      <w:spacing w:after="0" w:line="240" w:lineRule="auto"/>
    </w:pPr>
    <w:rPr>
      <w:rFonts w:ascii="Franklin Gothic Book" w:hAnsi="Franklin Gothic Book" w:cs="Calibri"/>
      <w:sz w:val="24"/>
    </w:rPr>
  </w:style>
  <w:style w:type="paragraph" w:styleId="FootnoteText">
    <w:name w:val="footnote text"/>
    <w:basedOn w:val="Normal"/>
    <w:link w:val="FootnoteTextChar"/>
    <w:uiPriority w:val="99"/>
    <w:semiHidden/>
    <w:unhideWhenUsed/>
    <w:rsid w:val="00CF731A"/>
    <w:rPr>
      <w:sz w:val="20"/>
      <w:szCs w:val="20"/>
    </w:rPr>
  </w:style>
  <w:style w:type="character" w:customStyle="1" w:styleId="FootnoteTextChar">
    <w:name w:val="Footnote Text Char"/>
    <w:basedOn w:val="DefaultParagraphFont"/>
    <w:link w:val="FootnoteText"/>
    <w:uiPriority w:val="99"/>
    <w:semiHidden/>
    <w:rsid w:val="00CF731A"/>
    <w:rPr>
      <w:rFonts w:ascii="Franklin Gothic Book" w:hAnsi="Franklin Gothic Book" w:cs="Calibri"/>
      <w:sz w:val="20"/>
      <w:szCs w:val="20"/>
    </w:rPr>
  </w:style>
  <w:style w:type="character" w:styleId="FootnoteReference">
    <w:name w:val="footnote reference"/>
    <w:basedOn w:val="DefaultParagraphFont"/>
    <w:uiPriority w:val="99"/>
    <w:semiHidden/>
    <w:unhideWhenUsed/>
    <w:rsid w:val="00CF7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797">
      <w:bodyDiv w:val="1"/>
      <w:marLeft w:val="0"/>
      <w:marRight w:val="0"/>
      <w:marTop w:val="0"/>
      <w:marBottom w:val="0"/>
      <w:divBdr>
        <w:top w:val="none" w:sz="0" w:space="0" w:color="auto"/>
        <w:left w:val="none" w:sz="0" w:space="0" w:color="auto"/>
        <w:bottom w:val="none" w:sz="0" w:space="0" w:color="auto"/>
        <w:right w:val="none" w:sz="0" w:space="0" w:color="auto"/>
      </w:divBdr>
    </w:div>
    <w:div w:id="546064338">
      <w:bodyDiv w:val="1"/>
      <w:marLeft w:val="0"/>
      <w:marRight w:val="0"/>
      <w:marTop w:val="0"/>
      <w:marBottom w:val="0"/>
      <w:divBdr>
        <w:top w:val="none" w:sz="0" w:space="0" w:color="auto"/>
        <w:left w:val="none" w:sz="0" w:space="0" w:color="auto"/>
        <w:bottom w:val="none" w:sz="0" w:space="0" w:color="auto"/>
        <w:right w:val="none" w:sz="0" w:space="0" w:color="auto"/>
      </w:divBdr>
    </w:div>
    <w:div w:id="674697653">
      <w:bodyDiv w:val="1"/>
      <w:marLeft w:val="0"/>
      <w:marRight w:val="0"/>
      <w:marTop w:val="0"/>
      <w:marBottom w:val="0"/>
      <w:divBdr>
        <w:top w:val="none" w:sz="0" w:space="0" w:color="auto"/>
        <w:left w:val="none" w:sz="0" w:space="0" w:color="auto"/>
        <w:bottom w:val="none" w:sz="0" w:space="0" w:color="auto"/>
        <w:right w:val="none" w:sz="0" w:space="0" w:color="auto"/>
      </w:divBdr>
    </w:div>
    <w:div w:id="1056784115">
      <w:bodyDiv w:val="1"/>
      <w:marLeft w:val="0"/>
      <w:marRight w:val="0"/>
      <w:marTop w:val="0"/>
      <w:marBottom w:val="0"/>
      <w:divBdr>
        <w:top w:val="none" w:sz="0" w:space="0" w:color="auto"/>
        <w:left w:val="none" w:sz="0" w:space="0" w:color="auto"/>
        <w:bottom w:val="none" w:sz="0" w:space="0" w:color="auto"/>
        <w:right w:val="none" w:sz="0" w:space="0" w:color="auto"/>
      </w:divBdr>
    </w:div>
    <w:div w:id="1071659781">
      <w:bodyDiv w:val="1"/>
      <w:marLeft w:val="0"/>
      <w:marRight w:val="0"/>
      <w:marTop w:val="0"/>
      <w:marBottom w:val="0"/>
      <w:divBdr>
        <w:top w:val="none" w:sz="0" w:space="0" w:color="auto"/>
        <w:left w:val="none" w:sz="0" w:space="0" w:color="auto"/>
        <w:bottom w:val="none" w:sz="0" w:space="0" w:color="auto"/>
        <w:right w:val="none" w:sz="0" w:space="0" w:color="auto"/>
      </w:divBdr>
    </w:div>
    <w:div w:id="1113938382">
      <w:bodyDiv w:val="1"/>
      <w:marLeft w:val="0"/>
      <w:marRight w:val="0"/>
      <w:marTop w:val="0"/>
      <w:marBottom w:val="0"/>
      <w:divBdr>
        <w:top w:val="none" w:sz="0" w:space="0" w:color="auto"/>
        <w:left w:val="none" w:sz="0" w:space="0" w:color="auto"/>
        <w:bottom w:val="none" w:sz="0" w:space="0" w:color="auto"/>
        <w:right w:val="none" w:sz="0" w:space="0" w:color="auto"/>
      </w:divBdr>
    </w:div>
    <w:div w:id="1754741001">
      <w:bodyDiv w:val="1"/>
      <w:marLeft w:val="0"/>
      <w:marRight w:val="0"/>
      <w:marTop w:val="0"/>
      <w:marBottom w:val="0"/>
      <w:divBdr>
        <w:top w:val="none" w:sz="0" w:space="0" w:color="auto"/>
        <w:left w:val="none" w:sz="0" w:space="0" w:color="auto"/>
        <w:bottom w:val="none" w:sz="0" w:space="0" w:color="auto"/>
        <w:right w:val="none" w:sz="0" w:space="0" w:color="auto"/>
      </w:divBdr>
    </w:div>
    <w:div w:id="17993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infectioncontrol/guidelines/disinfection/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organizations/businesses-employe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infectioncontrol/guidelines/isol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mont Department of Health 1">
      <a:dk1>
        <a:sysClr val="windowText" lastClr="000000"/>
      </a:dk1>
      <a:lt1>
        <a:sysClr val="window" lastClr="FFFFFF"/>
      </a:lt1>
      <a:dk2>
        <a:srgbClr val="44546A"/>
      </a:dk2>
      <a:lt2>
        <a:srgbClr val="E7E6E6"/>
      </a:lt2>
      <a:accent1>
        <a:srgbClr val="263F6A"/>
      </a:accent1>
      <a:accent2>
        <a:srgbClr val="3095B4"/>
      </a:accent2>
      <a:accent3>
        <a:srgbClr val="B6BF0B"/>
      </a:accent3>
      <a:accent4>
        <a:srgbClr val="6A1A41"/>
      </a:accent4>
      <a:accent5>
        <a:srgbClr val="E17000"/>
      </a:accent5>
      <a:accent6>
        <a:srgbClr val="8B817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3F9D-65E2-4DED-A090-129DA56E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Heidi</dc:creator>
  <cp:keywords/>
  <dc:description/>
  <cp:lastModifiedBy>Jill Sudhoff-Guerin</cp:lastModifiedBy>
  <cp:revision>2</cp:revision>
  <dcterms:created xsi:type="dcterms:W3CDTF">2021-03-30T17:25:00Z</dcterms:created>
  <dcterms:modified xsi:type="dcterms:W3CDTF">2021-03-30T17:25:00Z</dcterms:modified>
</cp:coreProperties>
</file>